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4320" w:right="196" w:firstLine="72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6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Тендерна пропозиція подається Учасником </w:t>
      </w:r>
      <w:r>
        <w:rPr>
          <w:rFonts w:hint="default" w:ascii="Times New Roman" w:hAnsi="Times New Roman" w:eastAsia="Calibri" w:cs="Times New Roman"/>
          <w:i/>
          <w:sz w:val="24"/>
          <w:szCs w:val="24"/>
          <w:lang w:val="uk-UA" w:eastAsia="ru-RU"/>
        </w:rPr>
        <w:t>на фірмовому бланку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(у разі наявності) 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>у вигляді, наведеному нижче. Учасник не повинен відступати від даної форми.</w:t>
      </w:r>
    </w:p>
    <w:p>
      <w:pPr>
        <w:rPr>
          <w:rFonts w:hint="default" w:ascii="Times New Roman" w:hAnsi="Times New Roman" w:eastAsia="Calibri" w:cs="Times New Roman"/>
          <w:b/>
          <w:color w:val="FF0000"/>
          <w:sz w:val="24"/>
          <w:szCs w:val="24"/>
          <w:u w:val="single"/>
          <w:lang w:val="uk-UA" w:eastAsia="ru-RU"/>
        </w:rPr>
      </w:pP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>ФОРМА «ЦІНОВА ПРОПОЗИЦІЯ»</w:t>
      </w: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ab/>
      </w:r>
    </w:p>
    <w:p>
      <w:pPr>
        <w:spacing w:after="0" w:line="240" w:lineRule="auto"/>
        <w:jc w:val="left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 xml:space="preserve">Ми, (назва Учасника) надаємо свою пропозицію щодо участі у процедурі відкритих торгів з особливостями на закупівлю </w:t>
      </w:r>
      <w:r>
        <w:rPr>
          <w:rFonts w:ascii="Times New Roman" w:hAnsi="Times New Roman" w:eastAsia="Calibri" w:cs="Times New Roman"/>
          <w:b/>
          <w:bCs/>
          <w:sz w:val="32"/>
          <w:szCs w:val="32"/>
          <w:lang w:val="uk-UA" w:eastAsia="ru-RU"/>
        </w:rPr>
        <w:t>Обладнання</w:t>
      </w:r>
      <w:r>
        <w:rPr>
          <w:rFonts w:hint="default" w:ascii="Times New Roman" w:hAnsi="Times New Roman" w:eastAsia="Calibri" w:cs="Times New Roman"/>
          <w:b/>
          <w:bCs/>
          <w:sz w:val="32"/>
          <w:szCs w:val="32"/>
          <w:lang w:val="uk-UA" w:eastAsia="ru-RU"/>
        </w:rPr>
        <w:t xml:space="preserve"> для дитячого ігрового майданчика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 xml:space="preserve"> за код ДК 021:2015: 37530000-2 – вироби для парків розваг, настільних або кімнатних ігор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  <w:t xml:space="preserve">, згідно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з технічними та іншими вимогами Замовника.</w:t>
      </w:r>
    </w:p>
    <w:p>
      <w:pPr>
        <w:ind w:firstLine="426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Договору: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2"/>
        <w:gridCol w:w="940"/>
        <w:gridCol w:w="1260"/>
        <w:gridCol w:w="795"/>
        <w:gridCol w:w="1371"/>
        <w:gridCol w:w="1275"/>
        <w:gridCol w:w="129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7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sz w:val="24"/>
                <w:szCs w:val="24"/>
                <w:lang w:val="uk-UA" w:eastAsia="ru-RU"/>
              </w:rPr>
              <w:t>Кількість шт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доставки товару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встановлення товару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товару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Без доставки та встановлення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Всього, грн.,      з/без ПДВ*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i/>
                <w:sz w:val="24"/>
                <w:szCs w:val="24"/>
                <w:lang w:val="uk-UA" w:eastAsia="ru-RU"/>
              </w:rPr>
              <w:t>З урахуванням всіх витрат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.....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200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121212"/>
                <w:sz w:val="24"/>
                <w:szCs w:val="24"/>
                <w:lang w:val="uk-UA" w:eastAsia="ru-RU"/>
              </w:rPr>
              <w:t>Всього :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Сума без 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200" w:type="dxa"/>
            <w:gridSpan w:val="7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200" w:type="dxa"/>
            <w:gridSpan w:val="7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Всього з 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65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  <w:t>Загальна вартість тендерної пропозиції (прописом) _____________________грн___коп., в т.ч. ПДВ*</w: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>
      <w:pPr>
        <w:ind w:firstLine="567"/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>Вартість товару, що є предметом закупівлі повинна складатись з урахуванням усіх податків і зборів, що сплачуються або мають бути сплачені суб’єктом господарювання та інших витрат, які включаються в ціну.</w:t>
      </w:r>
    </w:p>
    <w:p>
      <w:pPr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15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Строк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>поставки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та встановлення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 xml:space="preserve"> товарів, виконання робіт чи надання послуг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з дати підписання договору до 31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.08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.2023 року.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pBdr>
          <w:top w:val="single" w:color="auto" w:sz="4" w:space="1"/>
        </w:pBdr>
        <w:shd w:val="clear" w:color="auto" w:fill="FFFFFF"/>
        <w:spacing w:line="240" w:lineRule="atLeast"/>
        <w:ind w:right="1"/>
        <w:jc w:val="center"/>
        <w:outlineLvl w:val="0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ru-RU" w:eastAsia="en-US"/>
        </w:rPr>
        <w:t>Посада, прізвище, ініціали, підпис уповноваженої особи Учасника, завірені печаткою (у разі наявності)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 xml:space="preserve">!!! ПЕРЕМОЖЕЦЬ процедури закупівлі  у строк, що не перевищує 4 днів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  <w:t xml:space="preserve">з дати оприлюднення на веб-порталі Уповноваженого органу повідомлення про намір укласти договір, 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>повинен надати замовнику шляхом оприлюднення в електронній системі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  <w:t xml:space="preserve"> тендерну пропозицію з перерахунком ціни в бік зменшення (без зміни кількості (обсягу) та якості товарів) з урахуванням результатів аукціону для включення до вимог договору.</w:t>
      </w: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74E43"/>
    <w:multiLevelType w:val="multilevel"/>
    <w:tmpl w:val="7A474E43"/>
    <w:lvl w:ilvl="0" w:tentative="0">
      <w:start w:val="1"/>
      <w:numFmt w:val="decimal"/>
      <w:lvlText w:val="%1."/>
      <w:legacy w:legacy="1" w:legacySpace="0" w:legacyIndent="239"/>
      <w:lvlJc w:val="left"/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2"/>
    <w:qFormat/>
    <w:uiPriority w:val="99"/>
    <w:pPr>
      <w:spacing w:after="200" w:line="276" w:lineRule="auto"/>
    </w:pPr>
    <w:rPr>
      <w:rFonts w:ascii="Calibri" w:hAnsi="Calibri" w:eastAsia="Calibri" w:cs="Calibri"/>
      <w:sz w:val="22"/>
      <w:lang w:val="uk-UA" w:eastAsia="uk-UA" w:bidi="ar-SA"/>
    </w:rPr>
  </w:style>
  <w:style w:type="paragraph" w:customStyle="1" w:styleId="5">
    <w:name w:val="Основной текст с отступом 21"/>
    <w:uiPriority w:val="0"/>
    <w:pPr>
      <w:suppressAutoHyphens/>
      <w:ind w:firstLine="700"/>
      <w:jc w:val="both"/>
    </w:pPr>
    <w:rPr>
      <w:rFonts w:ascii="Times New Roman" w:hAnsi="Times New Roman" w:eastAsia="Times New Roman" w:cs="Times New Roman"/>
      <w:sz w:val="24"/>
      <w:szCs w:val="24"/>
      <w:lang w:val="uk-U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2023-03-15T06:26:02Z</dcterms:created>
  <dc:creator>Юля</dc:creator>
  <cp:lastModifiedBy>Юлія Щеглова</cp:lastModifiedBy>
  <dcterms:modified xsi:type="dcterms:W3CDTF">2023-03-15T06:32:26Z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9AFDA6009B5946E6B0F44F188164584D</vt:lpwstr>
  </property>
</Properties>
</file>