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153"/>
          <w:tab w:val="right" w:pos="8306"/>
        </w:tabs>
        <w:jc w:val="right"/>
      </w:pPr>
      <w:r>
        <w:rPr>
          <w:b/>
          <w:bCs/>
          <w:color w:val="000000"/>
        </w:rPr>
        <w:t>ДОДАТОК №1</w:t>
      </w:r>
    </w:p>
    <w:p>
      <w:pPr>
        <w:tabs>
          <w:tab w:val="left" w:pos="0"/>
          <w:tab w:val="center" w:pos="4153"/>
          <w:tab w:val="right" w:pos="8306"/>
        </w:tabs>
        <w:jc w:val="right"/>
        <w:rPr>
          <w:b/>
          <w:bCs/>
          <w:color w:val="000000"/>
        </w:rPr>
      </w:pPr>
    </w:p>
    <w:p>
      <w:pPr>
        <w:jc w:val="center"/>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pPr>
        <w:jc w:val="center"/>
      </w:pPr>
      <w:r>
        <w:rPr>
          <w:b/>
          <w:color w:val="000000"/>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w:t>
      </w:r>
      <w:r>
        <w:rPr>
          <w:b/>
          <w:bCs/>
        </w:rPr>
        <w:t>ублічні закупівлі»:</w:t>
      </w:r>
    </w:p>
    <w:tbl>
      <w:tblPr>
        <w:tblStyle w:val="3"/>
        <w:tblW w:w="10065" w:type="dxa"/>
        <w:tblInd w:w="108" w:type="dxa"/>
        <w:tblLayout w:type="fixed"/>
        <w:tblCellMar>
          <w:top w:w="0" w:type="dxa"/>
          <w:left w:w="108" w:type="dxa"/>
          <w:bottom w:w="0" w:type="dxa"/>
          <w:right w:w="108" w:type="dxa"/>
        </w:tblCellMar>
      </w:tblPr>
      <w:tblGrid>
        <w:gridCol w:w="573"/>
        <w:gridCol w:w="2546"/>
        <w:gridCol w:w="6946"/>
      </w:tblGrid>
      <w:tr>
        <w:tblPrEx>
          <w:tblCellMar>
            <w:top w:w="0" w:type="dxa"/>
            <w:left w:w="108" w:type="dxa"/>
            <w:bottom w:w="0" w:type="dxa"/>
            <w:right w:w="108" w:type="dxa"/>
          </w:tblCellMar>
        </w:tblPrEx>
        <w:trPr>
          <w:trHeight w:val="627" w:hRule="atLeast"/>
          <w:tblHeader/>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pPr>
            <w:r>
              <w:rPr>
                <w:b/>
                <w:bCs/>
                <w:color w:val="000000"/>
              </w:rPr>
              <w:t>№ з.п.</w:t>
            </w:r>
          </w:p>
        </w:tc>
        <w:tc>
          <w:tcPr>
            <w:tcW w:w="2546" w:type="dxa"/>
            <w:tcBorders>
              <w:top w:val="single" w:color="000000" w:sz="4" w:space="0"/>
              <w:left w:val="single" w:color="000000" w:sz="4" w:space="0"/>
              <w:bottom w:val="single" w:color="000000" w:sz="4" w:space="0"/>
            </w:tcBorders>
            <w:shd w:val="clear" w:color="auto" w:fill="auto"/>
          </w:tcPr>
          <w:p>
            <w:pPr>
              <w:tabs>
                <w:tab w:val="left" w:pos="1080"/>
              </w:tabs>
              <w:jc w:val="center"/>
            </w:pPr>
            <w:r>
              <w:rPr>
                <w:b/>
                <w:bCs/>
                <w:color w:val="000000"/>
              </w:rPr>
              <w:t>Кваліфікаційні критерії</w:t>
            </w:r>
          </w:p>
          <w:p>
            <w:pPr>
              <w:widowControl w:val="0"/>
              <w:tabs>
                <w:tab w:val="left" w:pos="1080"/>
              </w:tabs>
              <w:jc w:val="center"/>
              <w:rPr>
                <w:b/>
                <w:bCs/>
                <w:color w:val="000000"/>
              </w:rPr>
            </w:pP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1080"/>
              </w:tabs>
              <w:jc w:val="center"/>
            </w:pPr>
            <w:r>
              <w:rPr>
                <w:b/>
                <w:bCs/>
                <w:color w:val="000000"/>
              </w:rPr>
              <w:t>Документи,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837"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 xml:space="preserve">1. </w:t>
            </w:r>
          </w:p>
        </w:tc>
        <w:tc>
          <w:tcPr>
            <w:tcW w:w="2546" w:type="dxa"/>
            <w:tcBorders>
              <w:top w:val="single" w:color="000000" w:sz="4" w:space="0"/>
              <w:left w:val="single" w:color="000000" w:sz="4" w:space="0"/>
              <w:bottom w:val="single" w:color="000000" w:sz="4" w:space="0"/>
            </w:tcBorders>
            <w:shd w:val="clear" w:color="auto" w:fill="auto"/>
          </w:tcPr>
          <w:p>
            <w:pPr>
              <w:widowControl w:val="0"/>
              <w:tabs>
                <w:tab w:val="left" w:pos="1080"/>
              </w:tabs>
              <w:rPr>
                <w:highlight w:val="none"/>
              </w:rPr>
            </w:pPr>
            <w:r>
              <w:rPr>
                <w:color w:val="000000"/>
                <w:highlight w:val="none"/>
              </w:rPr>
              <w:t>Наявність в учасника процедури закупівлі обладнання, матеріально-технічної бази та технологій</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rPr>
                <w:highlight w:val="none"/>
              </w:rPr>
            </w:pPr>
            <w:r>
              <w:rPr>
                <w:color w:val="000000"/>
                <w:highlight w:val="none"/>
                <w:lang w:eastAsia="uk-UA"/>
              </w:rPr>
              <w:t xml:space="preserve">1.1. </w:t>
            </w:r>
            <w:r>
              <w:rPr>
                <w:b/>
                <w:bCs/>
                <w:color w:val="000000"/>
                <w:highlight w:val="none"/>
                <w:lang w:eastAsia="uk-UA"/>
              </w:rPr>
              <w:t xml:space="preserve">Якщо учасник є виробником товару, в складі тендерної пропозиції він надає: </w:t>
            </w:r>
          </w:p>
          <w:p>
            <w:pPr>
              <w:jc w:val="both"/>
              <w:rPr>
                <w:color w:val="000000"/>
                <w:highlight w:val="none"/>
                <w:lang w:eastAsia="uk-UA"/>
              </w:rPr>
            </w:pPr>
            <w:r>
              <w:rPr>
                <w:b/>
                <w:bCs/>
                <w:color w:val="000000"/>
                <w:highlight w:val="none"/>
                <w:lang w:eastAsia="uk-UA"/>
              </w:rPr>
              <w:t>  -</w:t>
            </w:r>
            <w:r>
              <w:rPr>
                <w:color w:val="000000"/>
                <w:highlight w:val="none"/>
                <w:lang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який є предметом закупівлі.</w:t>
            </w:r>
          </w:p>
          <w:p>
            <w:pPr>
              <w:jc w:val="both"/>
              <w:rPr>
                <w:highlight w:val="none"/>
              </w:rPr>
            </w:pPr>
            <w:r>
              <w:rPr>
                <w:color w:val="000000"/>
                <w:highlight w:val="none"/>
                <w:lang w:eastAsia="uk-UA"/>
              </w:rPr>
              <w:t xml:space="preserve"> -</w:t>
            </w:r>
            <w:r>
              <w:rPr>
                <w:highlight w:val="none"/>
              </w:rPr>
              <w:t xml:space="preserve"> наявність складських приміщень та/або виробничих приміщень (для підтвердження надається свідоцтво про право власності, договір оренди/суборенди).</w:t>
            </w:r>
          </w:p>
          <w:p>
            <w:pPr>
              <w:tabs>
                <w:tab w:val="left" w:pos="1080"/>
                <w:tab w:val="left" w:pos="10382"/>
              </w:tabs>
              <w:jc w:val="both"/>
              <w:rPr>
                <w:highlight w:val="none"/>
              </w:rPr>
            </w:pPr>
            <w:r>
              <w:rPr>
                <w:b/>
                <w:bCs/>
                <w:color w:val="000000"/>
                <w:highlight w:val="none"/>
                <w:lang w:eastAsia="uk-UA"/>
              </w:rPr>
              <w:t>Якщо учасник не є виробником товару, в складі тендерної пропозиції він надає:</w:t>
            </w:r>
          </w:p>
          <w:p>
            <w:pPr>
              <w:tabs>
                <w:tab w:val="left" w:pos="1080"/>
                <w:tab w:val="left" w:pos="10382"/>
              </w:tabs>
              <w:jc w:val="both"/>
              <w:rPr>
                <w:b/>
                <w:color w:val="000000"/>
                <w:sz w:val="24"/>
                <w:szCs w:val="24"/>
                <w:highlight w:val="none"/>
                <w:lang w:val="uk-UA"/>
              </w:rPr>
            </w:pPr>
            <w:r>
              <w:rPr>
                <w:b/>
                <w:bCs/>
                <w:color w:val="000000"/>
                <w:highlight w:val="none"/>
                <w:lang w:eastAsia="uk-UA"/>
              </w:rPr>
              <w:t xml:space="preserve">  </w:t>
            </w:r>
            <w:r>
              <w:rPr>
                <w:color w:val="000000"/>
                <w:highlight w:val="none"/>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xml:space="preserve">, який є предметом закупівлі. </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2.</w:t>
            </w:r>
          </w:p>
        </w:tc>
        <w:tc>
          <w:tcPr>
            <w:tcW w:w="2546" w:type="dxa"/>
            <w:tcBorders>
              <w:top w:val="single" w:color="000000" w:sz="4" w:space="0"/>
              <w:left w:val="single" w:color="000000" w:sz="4" w:space="0"/>
              <w:bottom w:val="single" w:color="000000" w:sz="4" w:space="0"/>
            </w:tcBorders>
            <w:shd w:val="clear" w:color="auto" w:fill="auto"/>
          </w:tcPr>
          <w:p>
            <w:pPr>
              <w:rPr>
                <w:highlight w:val="none"/>
              </w:rPr>
            </w:pPr>
            <w:r>
              <w:rPr>
                <w:b/>
                <w:bCs/>
                <w:color w:val="000000"/>
                <w:highlight w:val="none"/>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highlight w:val="none"/>
              </w:rPr>
            </w:pPr>
            <w:r>
              <w:rPr>
                <w:color w:val="000000"/>
                <w:highlight w:val="none"/>
                <w:lang w:eastAsia="ru-RU"/>
              </w:rPr>
              <w:t>1.1. Довідка в довільній формі, з інформацією про виконання  аналогічних за предметом закупівлі договорів  (не менше одного договору).</w:t>
            </w:r>
          </w:p>
          <w:p>
            <w:pPr>
              <w:jc w:val="both"/>
              <w:rPr>
                <w:rStyle w:val="4"/>
                <w:rFonts w:ascii="Liberation Serif" w:hAnsi="Liberation Serif" w:eastAsia="Liberation Serif" w:cs="Mangal"/>
                <w:b w:val="0"/>
                <w:highlight w:val="none"/>
                <w:lang w:val="uk" w:eastAsia="ar" w:bidi="ar"/>
              </w:rPr>
            </w:pPr>
            <w:r>
              <w:rPr>
                <w:color w:val="000000"/>
                <w:highlight w:val="none"/>
                <w:lang w:eastAsia="ru-RU"/>
              </w:rPr>
              <w:t xml:space="preserve">Аналогічним вважається договір,на </w:t>
            </w:r>
            <w:r>
              <w:rPr>
                <w:rStyle w:val="4"/>
                <w:rFonts w:ascii="Liberation Serif" w:hAnsi="Liberation Serif" w:eastAsia="Liberation Serif" w:cs="Mangal"/>
                <w:b w:val="0"/>
                <w:highlight w:val="none"/>
                <w:lang w:val="uk" w:eastAsia="ar" w:bidi="ar"/>
              </w:rPr>
              <w:t xml:space="preserve">Придбання та встановлення </w:t>
            </w:r>
          </w:p>
          <w:p>
            <w:pPr>
              <w:jc w:val="both"/>
              <w:rPr>
                <w:b/>
                <w:bCs/>
                <w:color w:val="000000"/>
                <w:highlight w:val="none"/>
                <w:shd w:val="clear" w:color="auto" w:fill="FFFFFF"/>
                <w:lang w:val="uk" w:eastAsia="ar" w:bidi="ar"/>
              </w:rPr>
            </w:pPr>
            <w:r>
              <w:rPr>
                <w:rFonts w:eastAsia="Calibri"/>
                <w:highlight w:val="none"/>
                <w:lang w:eastAsia="ru-RU"/>
              </w:rPr>
              <w:t>Обладнання для дитячого ігрового майданчика</w:t>
            </w:r>
          </w:p>
          <w:p>
            <w:pPr>
              <w:jc w:val="both"/>
              <w:rPr>
                <w:rStyle w:val="4"/>
                <w:rFonts w:ascii="Liberation Serif" w:hAnsi="Liberation Serif" w:eastAsia="Liberation Serif" w:cs="Mangal"/>
                <w:highlight w:val="none"/>
                <w:lang w:val="uk" w:eastAsia="ar" w:bidi="ar"/>
              </w:rPr>
            </w:pPr>
            <w:r>
              <w:rPr>
                <w:rStyle w:val="4"/>
                <w:rFonts w:ascii="Liberation Serif" w:hAnsi="Liberation Serif" w:eastAsia="Liberation Serif" w:cs="Mangal"/>
                <w:b w:val="0"/>
                <w:highlight w:val="none"/>
                <w:lang w:val="uk" w:eastAsia="ar" w:bidi="ar"/>
              </w:rPr>
              <w:t xml:space="preserve"> </w:t>
            </w:r>
            <w:r>
              <w:rPr>
                <w:rStyle w:val="6"/>
                <w:iCs/>
                <w:highlight w:val="none"/>
                <w:lang w:val="uk" w:eastAsia="ar" w:bidi="ar"/>
              </w:rPr>
              <w:t xml:space="preserve">згідно </w:t>
            </w:r>
            <w:bookmarkStart w:id="0" w:name="_Hlk427252801"/>
            <w:r>
              <w:rPr>
                <w:rStyle w:val="6"/>
                <w:iCs/>
                <w:highlight w:val="none"/>
                <w:lang w:val="uk" w:eastAsia="ar" w:bidi="ar"/>
              </w:rPr>
              <w:t xml:space="preserve">коду </w:t>
            </w:r>
            <w:r>
              <w:rPr>
                <w:rStyle w:val="4"/>
                <w:rFonts w:ascii="Liberation Serif" w:hAnsi="Liberation Serif" w:eastAsia="Liberation Serif" w:cs="Mangal"/>
                <w:highlight w:val="none"/>
                <w:lang w:val="uk" w:eastAsia="ar" w:bidi="ar"/>
              </w:rPr>
              <w:t>ДК 021:2015:37530000-2 Вироби для парків розваг, настільних або кімнатних ігор</w:t>
            </w:r>
            <w:bookmarkEnd w:id="0"/>
          </w:p>
          <w:p>
            <w:pPr>
              <w:jc w:val="both"/>
              <w:rPr>
                <w:highlight w:val="none"/>
              </w:rPr>
            </w:pPr>
            <w:r>
              <w:rPr>
                <w:color w:val="000000"/>
                <w:highlight w:val="none"/>
                <w:lang w:eastAsia="ru-RU"/>
              </w:rPr>
              <w:t>1.2. На підтвердження досвіду виконання аналогічного за предметом закупівлі договору Учасник має надати:</w:t>
            </w:r>
          </w:p>
          <w:p>
            <w:pPr>
              <w:jc w:val="both"/>
              <w:rPr>
                <w:highlight w:val="none"/>
              </w:rPr>
            </w:pPr>
            <w:r>
              <w:rPr>
                <w:color w:val="000000"/>
                <w:highlight w:val="none"/>
                <w:lang w:eastAsia="ru-RU"/>
              </w:rPr>
              <w:t xml:space="preserve">-   не менше одної копії договору, зазначеного у довідці у повному обсязі (з усіма укладеними додатковими угодами, додатками та специфікаціями до договору), </w:t>
            </w:r>
          </w:p>
          <w:p>
            <w:pPr>
              <w:jc w:val="both"/>
              <w:rPr>
                <w:highlight w:val="none"/>
              </w:rPr>
            </w:pPr>
            <w:r>
              <w:rPr>
                <w:color w:val="000000"/>
                <w:highlight w:val="none"/>
                <w:lang w:eastAsia="ru-RU"/>
              </w:rPr>
              <w:t>- лист-відгук про якісне постачання товару до договору, що зазначений в довідці.</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b/>
                <w:bCs/>
                <w:color w:val="000000"/>
                <w:highlight w:val="none"/>
              </w:rPr>
            </w:pPr>
            <w:bookmarkStart w:id="1" w:name="_GoBack"/>
            <w:r>
              <w:rPr>
                <w:b/>
                <w:bCs/>
                <w:color w:val="000000"/>
                <w:highlight w:val="none"/>
              </w:rPr>
              <w:t xml:space="preserve">3 </w:t>
            </w:r>
          </w:p>
        </w:tc>
        <w:tc>
          <w:tcPr>
            <w:tcW w:w="2546" w:type="dxa"/>
            <w:tcBorders>
              <w:top w:val="single" w:color="000000" w:sz="4" w:space="0"/>
              <w:left w:val="single" w:color="000000" w:sz="4" w:space="0"/>
              <w:bottom w:val="single" w:color="000000" w:sz="4" w:space="0"/>
            </w:tcBorders>
            <w:shd w:val="clear" w:color="auto" w:fill="auto"/>
          </w:tcPr>
          <w:p>
            <w:pPr>
              <w:rPr>
                <w:b/>
                <w:bCs/>
                <w:color w:val="000000"/>
                <w:highlight w:val="none"/>
                <w:lang w:eastAsia="ru-RU"/>
              </w:rPr>
            </w:pPr>
            <w:r>
              <w:rPr>
                <w:b/>
                <w:bCs/>
                <w:color w:val="000000"/>
                <w:highlight w:val="none"/>
                <w:lang w:eastAsia="ru-RU"/>
              </w:rPr>
              <w:t>Наявність працівників відповідної кваліфікації, які мають необхідні знання та досвід</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highlight w:val="none"/>
                <w:lang w:eastAsia="ru-RU"/>
              </w:rPr>
            </w:pPr>
            <w:r>
              <w:rPr>
                <w:color w:val="000000"/>
                <w:highlight w:val="none"/>
                <w:lang w:eastAsia="ru-RU"/>
              </w:rPr>
              <w:t xml:space="preserve">- </w:t>
            </w:r>
            <w:r>
              <w:rPr>
                <w:b/>
                <w:color w:val="000000"/>
                <w:highlight w:val="none"/>
                <w:lang w:eastAsia="ru-RU"/>
              </w:rPr>
              <w:t>Довідка в довільній формі</w:t>
            </w:r>
            <w:r>
              <w:rPr>
                <w:color w:val="000000"/>
                <w:highlight w:val="none"/>
                <w:lang w:eastAsia="ru-RU"/>
              </w:rPr>
              <w:t xml:space="preserve"> з зазначенням кількості та кваліфікації працівників з необхідними знаннями та досвідом, які будуть залучені до виконання договору</w:t>
            </w:r>
          </w:p>
          <w:p>
            <w:pPr>
              <w:jc w:val="both"/>
              <w:rPr>
                <w:i/>
                <w:color w:val="000000"/>
                <w:highlight w:val="none"/>
                <w:lang w:eastAsia="ru-RU"/>
              </w:rPr>
            </w:pPr>
            <w:r>
              <w:rPr>
                <w:color w:val="000000"/>
                <w:highlight w:val="none"/>
                <w:lang w:val="uk-UA" w:eastAsia="ru-RU"/>
              </w:rPr>
              <w:t>Д</w:t>
            </w:r>
            <w:r>
              <w:rPr>
                <w:color w:val="000000"/>
                <w:highlight w:val="none"/>
                <w:lang w:eastAsia="ru-RU"/>
              </w:rPr>
              <w:t>ля підтвердження надаються сканкопії відповідних  наказ</w:t>
            </w:r>
            <w:r>
              <w:rPr>
                <w:color w:val="000000"/>
                <w:highlight w:val="none"/>
                <w:lang w:val="uk-UA" w:eastAsia="ru-RU"/>
              </w:rPr>
              <w:t>ів</w:t>
            </w:r>
            <w:r>
              <w:rPr>
                <w:color w:val="000000"/>
                <w:highlight w:val="none"/>
                <w:lang w:eastAsia="ru-RU"/>
              </w:rPr>
              <w:t xml:space="preserve"> про призначення.</w:t>
            </w:r>
            <w:r>
              <w:rPr>
                <w:i/>
                <w:color w:val="000000"/>
                <w:highlight w:val="none"/>
                <w:lang w:eastAsia="ru-RU"/>
              </w:rPr>
              <w:t xml:space="preserve"> </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Замовник має право вимагати в Учасника підтвердження наявності працівників відповідної кваліфікації, оскільки, предмет закупівлі передбачає доставку, погрузку , розгрузку та встановлення спортивних майданчиків для дітей в З</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ДО</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w:t>
            </w:r>
          </w:p>
          <w:p>
            <w:pPr>
              <w:jc w:val="center"/>
              <w:rPr>
                <w:rFonts w:ascii="Times New Roman" w:hAnsi="Times New Roman" w:eastAsia="Calibri" w:cs="Times New Roman"/>
                <w:b/>
                <w:bCs/>
                <w:sz w:val="32"/>
                <w:szCs w:val="32"/>
                <w:lang w:eastAsia="ru-RU"/>
              </w:rPr>
            </w:pPr>
            <w:r>
              <w:rPr>
                <w:rFonts w:ascii="Times New Roman" w:hAnsi="Times New Roman" w:eastAsia="Calibri" w:cs="Times New Roman"/>
                <w:b/>
                <w:bCs/>
                <w:sz w:val="32"/>
                <w:szCs w:val="32"/>
                <w:lang w:eastAsia="ru-RU"/>
              </w:rPr>
              <w:t>Обладнання для дитячого ігрового майданчика</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повинно </w:t>
            </w:r>
            <w:r>
              <w:rPr>
                <w:rFonts w:hint="default" w:ascii="Times New Roman" w:hAnsi="Times New Roman" w:eastAsia="SimSun" w:cs="Times New Roman"/>
                <w:b/>
                <w:bCs/>
                <w:i w:val="0"/>
                <w:iCs w:val="0"/>
                <w:caps w:val="0"/>
                <w:color w:val="0000FF"/>
                <w:spacing w:val="0"/>
                <w:kern w:val="0"/>
                <w:sz w:val="24"/>
                <w:szCs w:val="24"/>
                <w:shd w:val="clear" w:fill="FFFFFF"/>
                <w:lang w:val="en-US" w:eastAsia="zh-CN" w:bidi="ar"/>
              </w:rPr>
              <w:t>бути встановлено безпечн</w:t>
            </w:r>
            <w:r>
              <w:rPr>
                <w:rFonts w:hint="default" w:ascii="Times New Roman" w:hAnsi="Times New Roman" w:eastAsia="SimSun" w:cs="Times New Roman"/>
                <w:b/>
                <w:bCs/>
                <w:i w:val="0"/>
                <w:iCs w:val="0"/>
                <w:caps w:val="0"/>
                <w:color w:val="0000FF"/>
                <w:spacing w:val="0"/>
                <w:kern w:val="0"/>
                <w:sz w:val="24"/>
                <w:szCs w:val="24"/>
                <w:shd w:val="clear" w:fill="FFFFFF"/>
                <w:lang w:val="uk-UA" w:eastAsia="zh-CN" w:bidi="ar"/>
              </w:rPr>
              <w:t xml:space="preserve">им </w:t>
            </w:r>
            <w:r>
              <w:rPr>
                <w:rFonts w:hint="default" w:ascii="Times New Roman" w:hAnsi="Times New Roman" w:eastAsia="SimSun" w:cs="Times New Roman"/>
                <w:b/>
                <w:bCs/>
                <w:i w:val="0"/>
                <w:iCs w:val="0"/>
                <w:caps w:val="0"/>
                <w:color w:val="0000FF"/>
                <w:spacing w:val="0"/>
                <w:kern w:val="0"/>
                <w:sz w:val="24"/>
                <w:szCs w:val="24"/>
                <w:shd w:val="clear" w:fill="FFFFFF"/>
                <w:lang w:val="en-US" w:eastAsia="zh-CN" w:bidi="ar"/>
              </w:rPr>
              <w:t>способом кваліфікованим персоналом в відповідності з технічним паспортом</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на кожен ігровий компонент майданчика, чи весь майданчик, а також згідно</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проекту, нормативним</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и</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документам</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и</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та інструкціям</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и</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виробника. Відповідно до цього ,Учасник повинен мати кваліфікований персонал,</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адже  безпека здоров</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я та життя дітей це соціально-важлива проблема,</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яка потребує вирішення.  </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Окрім того,</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вимогою Замовника  в ТД  є гарантія на товар</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Гарантійні термін експлуатації товару  складає не менше 24 місяців.</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Відповідно, ця вимога передбачає наявність працівників, що будуть здійснювати Гарантійне обслуговування</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у випадку поломки обладнання його необхідно ремонтувати , тобто необхідні зварювальники)</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Після завершення  монтажу обладнання</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замовник проводить комісійне обстеження і складає акт приймання</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-передачі</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Під час обстеження перевіряється комплектність, правильність та надійність зборки ігрових елементів, надійність кріплення до фундаментів,</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безпечність покриття майданчика, наявність технічного паспорту виробу.</w:t>
            </w:r>
          </w:p>
          <w:p>
            <w:pPr>
              <w:keepNext w:val="0"/>
              <w:keepLines w:val="0"/>
              <w:widowControl/>
              <w:suppressLineNumbers w:val="0"/>
              <w:shd w:val="clear" w:fill="FFFFFF"/>
              <w:ind w:left="0" w:firstLine="0"/>
              <w:jc w:val="left"/>
              <w:rPr>
                <w:rFonts w:hint="default" w:ascii="Times New Roman" w:hAnsi="Times New Roman" w:cs="Times New Roman"/>
                <w:i w:val="0"/>
                <w:iCs w:val="0"/>
                <w:caps w:val="0"/>
                <w:color w:val="0000FF"/>
                <w:spacing w:val="0"/>
                <w:sz w:val="24"/>
                <w:szCs w:val="24"/>
              </w:rPr>
            </w:pP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До оформлення акту прийом</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у-передачі,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 xml:space="preserve"> майданчик та обладнання на </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ньому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повинні</w:t>
            </w:r>
            <w:r>
              <w:rPr>
                <w:rFonts w:hint="default" w:ascii="Times New Roman" w:hAnsi="Times New Roman" w:eastAsia="SimSun" w:cs="Times New Roman"/>
                <w:i w:val="0"/>
                <w:iCs w:val="0"/>
                <w:caps w:val="0"/>
                <w:color w:val="0000FF"/>
                <w:spacing w:val="0"/>
                <w:kern w:val="0"/>
                <w:sz w:val="24"/>
                <w:szCs w:val="24"/>
                <w:shd w:val="clear" w:fill="FFFFFF"/>
                <w:lang w:val="uk-UA" w:eastAsia="zh-CN" w:bidi="ar"/>
              </w:rPr>
              <w:t xml:space="preserve"> </w:t>
            </w:r>
            <w:r>
              <w:rPr>
                <w:rFonts w:hint="default" w:ascii="Times New Roman" w:hAnsi="Times New Roman" w:eastAsia="SimSun" w:cs="Times New Roman"/>
                <w:i w:val="0"/>
                <w:iCs w:val="0"/>
                <w:caps w:val="0"/>
                <w:color w:val="0000FF"/>
                <w:spacing w:val="0"/>
                <w:kern w:val="0"/>
                <w:sz w:val="24"/>
                <w:szCs w:val="24"/>
                <w:shd w:val="clear" w:fill="FFFFFF"/>
                <w:lang w:val="en-US" w:eastAsia="zh-CN" w:bidi="ar"/>
              </w:rPr>
              <w:t>бути закриті для використання.</w:t>
            </w:r>
          </w:p>
          <w:p>
            <w:pPr>
              <w:jc w:val="both"/>
              <w:rPr>
                <w:rFonts w:hint="default" w:ascii="Times New Roman" w:hAnsi="Times New Roman" w:cs="Times New Roman"/>
                <w:i/>
                <w:color w:val="0000FF"/>
                <w:sz w:val="24"/>
                <w:szCs w:val="24"/>
                <w:highlight w:val="none"/>
                <w:lang w:eastAsia="ru-RU"/>
              </w:rPr>
            </w:pPr>
            <w:r>
              <w:rPr>
                <w:rFonts w:hint="default" w:ascii="Times New Roman" w:hAnsi="Times New Roman" w:eastAsia="SimSun" w:cs="Times New Roman"/>
                <w:i w:val="0"/>
                <w:iCs w:val="0"/>
                <w:caps w:val="0"/>
                <w:color w:val="0000FF"/>
                <w:spacing w:val="0"/>
                <w:sz w:val="24"/>
                <w:szCs w:val="24"/>
                <w:shd w:val="clear" w:fill="FFFFFF"/>
              </w:rPr>
              <w:t>Паспорт об’єкту заповнюється відразу після його встановлення.</w:t>
            </w:r>
          </w:p>
          <w:p>
            <w:pPr>
              <w:jc w:val="both"/>
              <w:rPr>
                <w:color w:val="000000"/>
                <w:highlight w:val="none"/>
                <w:lang w:eastAsia="ru-RU"/>
              </w:rPr>
            </w:pPr>
            <w:r>
              <w:rPr>
                <w:i/>
                <w:color w:val="000000"/>
                <w:highlight w:val="none"/>
                <w:lang w:eastAsia="ru-RU"/>
              </w:rPr>
              <w:t>До уваги учасників: Відсутність працівників відповідної кваліфікації вважається таким, що не відповідає кваліфікаційному критерію «Наявність працівників відповідної кваліфікації, які мають необхідні знання та досвід»</w:t>
            </w:r>
          </w:p>
        </w:tc>
      </w:tr>
      <w:bookmarkEnd w:id="1"/>
    </w:tbl>
    <w:p>
      <w:pPr>
        <w:tabs>
          <w:tab w:val="left" w:pos="1080"/>
        </w:tabs>
        <w:jc w:val="both"/>
        <w:rPr>
          <w:highlight w:val="none"/>
        </w:rPr>
      </w:pPr>
      <w:r>
        <w:rPr>
          <w:b/>
          <w:bCs/>
          <w:i/>
          <w:iCs/>
          <w:color w:val="000000"/>
          <w:sz w:val="22"/>
          <w:szCs w:val="22"/>
          <w:highlight w:val="none"/>
          <w:lang w:eastAsia="uk-UA"/>
        </w:rPr>
        <w:t xml:space="preserve">Примітка: </w:t>
      </w:r>
      <w:r>
        <w:rPr>
          <w:i/>
          <w:iCs/>
          <w:color w:val="000000"/>
          <w:sz w:val="22"/>
          <w:szCs w:val="22"/>
          <w:highlight w:val="none"/>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eastAsia="Calibri"/>
          <w:b/>
          <w:i/>
          <w:iCs/>
          <w:color w:val="000000"/>
          <w:sz w:val="22"/>
          <w:szCs w:val="22"/>
          <w:highlight w:val="none"/>
          <w:lang w:eastAsia="en-US"/>
        </w:rPr>
      </w:pPr>
    </w:p>
    <w:p>
      <w:pPr>
        <w:jc w:val="both"/>
        <w:rPr>
          <w:rFonts w:eastAsia="Calibri"/>
          <w:b/>
          <w:i/>
          <w:iCs/>
          <w:color w:val="000000"/>
          <w:sz w:val="22"/>
          <w:szCs w:val="22"/>
          <w:highlight w:val="none"/>
          <w:lang w:eastAsia="en-US"/>
        </w:rPr>
      </w:pPr>
    </w:p>
    <w:p>
      <w:pPr>
        <w:widowControl w:val="0"/>
        <w:jc w:val="both"/>
        <w:rPr>
          <w:rFonts w:eastAsia="Calibri"/>
          <w:b/>
          <w:bCs/>
          <w:i/>
          <w:iCs/>
          <w:color w:val="auto"/>
          <w:sz w:val="22"/>
          <w:szCs w:val="22"/>
          <w:highlight w:val="none"/>
          <w:lang w:eastAsia="uk-UA"/>
        </w:rPr>
      </w:pPr>
    </w:p>
    <w:p>
      <w:pPr>
        <w:numPr>
          <w:ilvl w:val="0"/>
          <w:numId w:val="1"/>
        </w:numPr>
        <w:suppressAutoHyphens w:val="0"/>
        <w:spacing w:before="20" w:after="20" w:line="256" w:lineRule="auto"/>
        <w:contextualSpacing/>
        <w:jc w:val="center"/>
        <w:rPr>
          <w:color w:val="auto"/>
          <w:lang w:val="ru-RU" w:eastAsia="uk-UA"/>
        </w:rPr>
      </w:pPr>
      <w:r>
        <w:rPr>
          <w:b/>
          <w:color w:val="auto"/>
          <w:lang w:eastAsia="en-US"/>
        </w:rPr>
        <w:t>Розділ 2.</w:t>
      </w:r>
      <w:r>
        <w:rPr>
          <w:rFonts w:ascii="Calibri" w:hAnsi="Calibri" w:cs="Calibri"/>
          <w:color w:val="auto"/>
          <w:sz w:val="22"/>
          <w:szCs w:val="22"/>
          <w:lang w:eastAsia="en-US"/>
        </w:rPr>
        <w:t xml:space="preserve">  </w:t>
      </w:r>
      <w:r>
        <w:rPr>
          <w:b/>
          <w:color w:val="auto"/>
          <w:lang w:val="ru-RU" w:eastAsia="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suppressAutoHyphens w:val="0"/>
        <w:ind w:firstLine="567"/>
        <w:jc w:val="both"/>
        <w:rPr>
          <w:color w:val="auto"/>
          <w:sz w:val="22"/>
          <w:szCs w:val="22"/>
          <w:lang w:val="ru-RU" w:eastAsia="uk-UA"/>
        </w:rPr>
      </w:pPr>
    </w:p>
    <w:p>
      <w:pPr>
        <w:suppressAutoHyphens w:val="0"/>
        <w:ind w:firstLine="567"/>
        <w:jc w:val="both"/>
        <w:rPr>
          <w:b/>
          <w:color w:val="auto"/>
          <w:lang w:val="ru-RU" w:eastAsia="uk-UA"/>
        </w:rPr>
      </w:pPr>
      <w:r>
        <w:rPr>
          <w:color w:val="auto"/>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widowControl w:val="0"/>
        <w:suppressAutoHyphens w:val="0"/>
        <w:ind w:firstLine="567"/>
        <w:jc w:val="both"/>
        <w:rPr>
          <w:color w:val="auto"/>
          <w:lang w:val="ru-RU" w:eastAsia="uk-UA"/>
        </w:rPr>
      </w:pPr>
      <w:r>
        <w:rPr>
          <w:color w:val="auto"/>
          <w:lang w:val="ru-RU"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color w:val="auto"/>
          <w:lang w:val="ru-RU" w:eastAsia="uk-UA"/>
        </w:rPr>
        <w:t>шляхом самостійного декларування відсутності таких підстав</w:t>
      </w:r>
      <w:r>
        <w:rPr>
          <w:color w:val="auto"/>
          <w:lang w:val="ru-RU" w:eastAsia="uk-UA"/>
        </w:rPr>
        <w:t xml:space="preserve"> в електронній системі закупівель під час подання тендерної пропозиції.</w:t>
      </w:r>
    </w:p>
    <w:p>
      <w:pPr>
        <w:widowControl w:val="0"/>
        <w:suppressAutoHyphens w:val="0"/>
        <w:ind w:firstLine="567"/>
        <w:jc w:val="both"/>
        <w:rPr>
          <w:color w:val="auto"/>
          <w:lang w:val="ru-RU" w:eastAsia="uk-UA"/>
        </w:rPr>
      </w:pPr>
      <w:r>
        <w:rPr>
          <w:color w:val="auto"/>
          <w:lang w:val="ru-RU" w:eastAsia="uk-UA"/>
        </w:rPr>
        <w:t xml:space="preserve">Учасник  повинен надати </w:t>
      </w:r>
      <w:r>
        <w:rPr>
          <w:b/>
          <w:color w:val="auto"/>
          <w:lang w:val="ru-RU" w:eastAsia="uk-UA"/>
        </w:rPr>
        <w:t>довідку у довільній формі</w:t>
      </w:r>
      <w:r>
        <w:rPr>
          <w:color w:val="auto"/>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uppressAutoHyphens w:val="0"/>
        <w:ind w:firstLine="567"/>
        <w:jc w:val="both"/>
        <w:rPr>
          <w:color w:val="auto"/>
          <w:lang w:val="ru-RU" w:eastAsia="uk-UA"/>
        </w:rPr>
      </w:pPr>
      <w:r>
        <w:rPr>
          <w:color w:val="auto"/>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color w:val="auto"/>
          <w:lang w:val="ru-RU" w:eastAsia="uk-UA"/>
        </w:rPr>
        <w:t>(у разі застосування таких критеріїв до учасника процедури закупівлі)</w:t>
      </w:r>
      <w:r>
        <w:rPr>
          <w:color w:val="auto"/>
          <w:lang w:val="ru-RU" w:eastAsia="uk-UA"/>
        </w:rPr>
        <w:t>, замовник перевіряє таких суб’єктів господарювання на відсутність підстав, визначених цим пунктом.</w:t>
      </w:r>
    </w:p>
    <w:p>
      <w:pPr>
        <w:suppressAutoHyphens w:val="0"/>
        <w:spacing w:after="80" w:line="256" w:lineRule="auto"/>
        <w:jc w:val="both"/>
        <w:rPr>
          <w:i/>
          <w:color w:val="auto"/>
          <w:highlight w:val="white"/>
          <w:lang w:val="ru-RU" w:eastAsia="uk-UA"/>
        </w:rPr>
      </w:pPr>
    </w:p>
    <w:p>
      <w:pPr>
        <w:numPr>
          <w:ilvl w:val="0"/>
          <w:numId w:val="1"/>
        </w:numPr>
        <w:suppressAutoHyphens w:val="0"/>
        <w:spacing w:after="160" w:line="256" w:lineRule="auto"/>
        <w:contextualSpacing/>
        <w:jc w:val="center"/>
        <w:rPr>
          <w:b/>
          <w:color w:val="auto"/>
          <w:lang w:val="ru-RU" w:eastAsia="uk-UA"/>
        </w:rPr>
      </w:pPr>
      <w:r>
        <w:rPr>
          <w:b/>
          <w:color w:val="auto"/>
          <w:lang w:val="ru-RU" w:eastAsia="uk-UA"/>
        </w:rPr>
        <w:t>Перелік документів та інформації  для підтвердження відповідності ПЕРЕМОЖЦЯ вимогам, визначеним у пункті 44 Особливостей:</w:t>
      </w:r>
    </w:p>
    <w:p>
      <w:pPr>
        <w:widowControl w:val="0"/>
        <w:suppressAutoHyphens w:val="0"/>
        <w:ind w:firstLine="567"/>
        <w:jc w:val="both"/>
        <w:rPr>
          <w:color w:val="auto"/>
          <w:lang w:val="ru-RU" w:eastAsia="uk-UA"/>
        </w:rPr>
      </w:pPr>
    </w:p>
    <w:p>
      <w:pPr>
        <w:widowControl w:val="0"/>
        <w:suppressAutoHyphens w:val="0"/>
        <w:ind w:firstLine="567"/>
        <w:jc w:val="both"/>
        <w:rPr>
          <w:color w:val="auto"/>
          <w:lang w:val="ru-RU" w:eastAsia="uk-UA"/>
        </w:rPr>
      </w:pPr>
      <w:r>
        <w:rPr>
          <w:color w:val="auto"/>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widowControl w:val="0"/>
        <w:suppressAutoHyphens w:val="0"/>
        <w:ind w:firstLine="567"/>
        <w:jc w:val="both"/>
        <w:rPr>
          <w:b/>
          <w:color w:val="auto"/>
          <w:highlight w:val="yellow"/>
          <w:lang w:val="ru-RU" w:eastAsia="uk-UA"/>
        </w:rPr>
      </w:pPr>
      <w:r>
        <w:rPr>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uppressAutoHyphens w:val="0"/>
        <w:rPr>
          <w:b/>
          <w:color w:val="auto"/>
          <w:highlight w:val="yellow"/>
          <w:lang w:val="ru-RU" w:eastAsia="uk-UA"/>
        </w:rPr>
      </w:pPr>
    </w:p>
    <w:p>
      <w:pPr>
        <w:suppressAutoHyphens w:val="0"/>
        <w:rPr>
          <w:b/>
          <w:color w:val="auto"/>
          <w:sz w:val="22"/>
          <w:szCs w:val="22"/>
          <w:lang w:val="ru-RU" w:eastAsia="uk-UA"/>
        </w:rPr>
      </w:pPr>
      <w:r>
        <w:rPr>
          <w:b/>
          <w:color w:val="auto"/>
          <w:sz w:val="22"/>
          <w:szCs w:val="22"/>
          <w:lang w:eastAsia="uk-UA"/>
        </w:rPr>
        <w:t>2</w:t>
      </w:r>
      <w:r>
        <w:rPr>
          <w:b/>
          <w:color w:val="auto"/>
          <w:sz w:val="22"/>
          <w:szCs w:val="22"/>
          <w:lang w:val="ru-RU" w:eastAsia="uk-UA"/>
        </w:rPr>
        <w:t>.1. Документи, які надаються  ПЕРЕМОЖЦЕМ (юридичною особою):</w:t>
      </w:r>
    </w:p>
    <w:p>
      <w:pPr>
        <w:suppressAutoHyphens w:val="0"/>
        <w:rPr>
          <w:b/>
          <w:color w:val="auto"/>
          <w:sz w:val="22"/>
          <w:szCs w:val="22"/>
          <w:lang w:val="ru-RU" w:eastAsia="uk-UA"/>
        </w:rPr>
      </w:pPr>
    </w:p>
    <w:tbl>
      <w:tblPr>
        <w:tblStyle w:val="3"/>
        <w:tblW w:w="10013" w:type="dxa"/>
        <w:tblInd w:w="-100" w:type="dxa"/>
        <w:tblLayout w:type="fixed"/>
        <w:tblCellMar>
          <w:top w:w="0" w:type="dxa"/>
          <w:left w:w="108" w:type="dxa"/>
          <w:bottom w:w="0" w:type="dxa"/>
          <w:right w:w="108" w:type="dxa"/>
        </w:tblCellMar>
      </w:tblPr>
      <w:tblGrid>
        <w:gridCol w:w="764"/>
        <w:gridCol w:w="4349"/>
        <w:gridCol w:w="4900"/>
      </w:tblGrid>
      <w:tr>
        <w:tblPrEx>
          <w:tblCellMar>
            <w:top w:w="0" w:type="dxa"/>
            <w:left w:w="108" w:type="dxa"/>
            <w:bottom w:w="0" w:type="dxa"/>
            <w:right w:w="108" w:type="dxa"/>
          </w:tblCellMar>
        </w:tblPrEx>
        <w:trPr>
          <w:trHeight w:val="1005"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 44 Особливостей*</w:t>
            </w:r>
          </w:p>
          <w:p>
            <w:pPr>
              <w:suppressAutoHyphens w:val="0"/>
              <w:ind w:left="100"/>
              <w:jc w:val="center"/>
              <w:rPr>
                <w:color w:val="auto"/>
                <w:sz w:val="22"/>
                <w:szCs w:val="22"/>
                <w:lang w:val="ru-RU" w:eastAsia="en-US"/>
              </w:rPr>
            </w:pP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0"/>
              <w:ind w:right="140"/>
              <w:jc w:val="both"/>
              <w:rPr>
                <w:color w:val="auto"/>
                <w:sz w:val="22"/>
                <w:szCs w:val="22"/>
                <w:lang w:val="ru-RU" w:eastAsia="en-US"/>
              </w:rPr>
            </w:pPr>
            <w:r>
              <w:rPr>
                <w:color w:val="auto"/>
                <w:sz w:val="22"/>
                <w:szCs w:val="22"/>
                <w:lang w:val="ru-RU" w:eastAsia="en-US"/>
              </w:rPr>
              <w:t>(підпункт 6 пункт 44 Особливостей)</w:t>
            </w:r>
          </w:p>
        </w:tc>
        <w:tc>
          <w:tcPr>
            <w:tcW w:w="4900"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225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b/>
                <w:color w:val="auto"/>
                <w:sz w:val="22"/>
                <w:szCs w:val="22"/>
                <w:lang w:eastAsia="en-US"/>
              </w:rPr>
            </w:pPr>
            <w:r>
              <w:rPr>
                <w:b/>
                <w:color w:val="auto"/>
                <w:sz w:val="22"/>
                <w:szCs w:val="22"/>
                <w:lang w:val="ru-RU" w:eastAsia="en-US"/>
              </w:rPr>
              <w:t>(підпункт 12 пункт 44 Особливостей</w:t>
            </w:r>
            <w:r>
              <w:rPr>
                <w:b/>
                <w:color w:val="auto"/>
                <w:sz w:val="22"/>
                <w:szCs w:val="22"/>
                <w:lang w:eastAsia="en-US"/>
              </w:rPr>
              <w:t>)</w:t>
            </w:r>
          </w:p>
        </w:tc>
        <w:tc>
          <w:tcPr>
            <w:tcW w:w="4900"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20"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lang w:val="ru-RU" w:eastAsia="en-US"/>
              </w:rPr>
            </w:pPr>
            <w:r>
              <w:rPr>
                <w:b/>
                <w:color w:val="auto"/>
                <w:sz w:val="22"/>
                <w:szCs w:val="22"/>
                <w:lang w:val="ru-RU" w:eastAsia="en-US"/>
              </w:rPr>
              <w:t>(абзац 14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uppressAutoHyphens w:val="0"/>
        <w:spacing w:before="240"/>
        <w:jc w:val="center"/>
        <w:rPr>
          <w:b/>
          <w:color w:val="auto"/>
          <w:sz w:val="22"/>
          <w:szCs w:val="22"/>
          <w:lang w:val="ru-RU" w:eastAsia="uk-UA"/>
        </w:rPr>
      </w:pPr>
      <w:r>
        <w:rPr>
          <w:b/>
          <w:color w:val="auto"/>
          <w:sz w:val="22"/>
          <w:szCs w:val="22"/>
          <w:lang w:val="ru-RU" w:eastAsia="uk-UA"/>
        </w:rPr>
        <w:t>2.2. Документи, які надаються ПЕРЕМОЖЦЕМ (фізичною особою чи фізичною особою — підприємцем):</w:t>
      </w:r>
    </w:p>
    <w:tbl>
      <w:tblPr>
        <w:tblStyle w:val="3"/>
        <w:tblW w:w="10013" w:type="dxa"/>
        <w:tblInd w:w="-100" w:type="dxa"/>
        <w:tblLayout w:type="fixed"/>
        <w:tblCellMar>
          <w:top w:w="0" w:type="dxa"/>
          <w:left w:w="108" w:type="dxa"/>
          <w:bottom w:w="0" w:type="dxa"/>
          <w:right w:w="108" w:type="dxa"/>
        </w:tblCellMar>
      </w:tblPr>
      <w:tblGrid>
        <w:gridCol w:w="587"/>
        <w:gridCol w:w="4425"/>
        <w:gridCol w:w="5001"/>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пункту 44 Особливостей*</w:t>
            </w:r>
          </w:p>
          <w:p>
            <w:pPr>
              <w:suppressAutoHyphens w:val="0"/>
              <w:ind w:left="100"/>
              <w:jc w:val="center"/>
              <w:rPr>
                <w:color w:val="auto"/>
                <w:sz w:val="22"/>
                <w:szCs w:val="22"/>
                <w:lang w:val="ru-RU" w:eastAsia="en-US"/>
              </w:rPr>
            </w:pP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пункту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uppressAutoHyphens w:val="0"/>
              <w:spacing w:before="120"/>
              <w:jc w:val="both"/>
              <w:rPr>
                <w:b/>
                <w:color w:val="auto"/>
                <w:sz w:val="22"/>
                <w:szCs w:val="22"/>
                <w:lang w:val="ru-RU" w:eastAsia="en-US"/>
              </w:rPr>
            </w:pPr>
            <w:r>
              <w:rPr>
                <w:b/>
                <w:color w:val="auto"/>
                <w:sz w:val="22"/>
                <w:szCs w:val="22"/>
                <w:lang w:val="ru-RU" w:eastAsia="en-US"/>
              </w:rPr>
              <w:t>(підпункт 5 пункт 44 Особливостей)</w:t>
            </w:r>
          </w:p>
        </w:tc>
        <w:tc>
          <w:tcPr>
            <w:tcW w:w="5001"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color w:val="auto"/>
                <w:sz w:val="22"/>
                <w:szCs w:val="22"/>
                <w:lang w:val="ru-RU" w:eastAsia="en-US"/>
              </w:rPr>
            </w:pPr>
            <w:r>
              <w:rPr>
                <w:b/>
                <w:color w:val="auto"/>
                <w:sz w:val="22"/>
                <w:szCs w:val="22"/>
                <w:lang w:val="ru-RU" w:eastAsia="en-US"/>
              </w:rPr>
              <w:t>(підпункт 12 пункт 44 Особливостей)</w:t>
            </w:r>
          </w:p>
        </w:tc>
        <w:tc>
          <w:tcPr>
            <w:tcW w:w="5001"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4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highlight w:val="yellow"/>
                <w:lang w:val="ru-RU" w:eastAsia="en-US"/>
              </w:rPr>
            </w:pPr>
            <w:r>
              <w:rPr>
                <w:b/>
                <w:color w:val="auto"/>
                <w:sz w:val="22"/>
                <w:szCs w:val="22"/>
                <w:lang w:val="ru-RU" w:eastAsia="en-US"/>
              </w:rPr>
              <w:t>(абзац 14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highlight w:val="yellow"/>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tabs>
          <w:tab w:val="left" w:pos="1080"/>
        </w:tabs>
        <w:rPr>
          <w:b/>
          <w:i/>
          <w:iCs/>
          <w:color w:val="auto"/>
          <w:highlight w:val="none"/>
          <w:shd w:val="clear" w:color="auto" w:fill="FFFFFF"/>
        </w:rPr>
      </w:pPr>
    </w:p>
    <w:p>
      <w:pPr>
        <w:widowControl w:val="0"/>
        <w:jc w:val="both"/>
        <w:rPr>
          <w:highlight w:val="none"/>
        </w:rPr>
      </w:pPr>
      <w:r>
        <w:rPr>
          <w:rFonts w:eastAsia="SimSun"/>
          <w:b/>
          <w:bCs/>
          <w:color w:val="000000"/>
          <w:kern w:val="2"/>
          <w:highlight w:val="none"/>
          <w:lang w:eastAsia="en-US"/>
        </w:rPr>
        <w:t xml:space="preserve">Розділ 3. </w:t>
      </w:r>
      <w:r>
        <w:rPr>
          <w:rFonts w:eastAsia="SimSun"/>
          <w:b/>
          <w:bCs/>
          <w:color w:val="000000"/>
          <w:kern w:val="2"/>
          <w:highlight w:val="none"/>
        </w:rPr>
        <w:t>Інші вимоги та відповідні док</w:t>
      </w:r>
      <w:r>
        <w:rPr>
          <w:b/>
          <w:bCs/>
          <w:highlight w:val="none"/>
        </w:rPr>
        <w:t>ументи:</w:t>
      </w:r>
    </w:p>
    <w:tbl>
      <w:tblPr>
        <w:tblStyle w:val="3"/>
        <w:tblW w:w="0" w:type="auto"/>
        <w:tblInd w:w="108" w:type="dxa"/>
        <w:tblLayout w:type="fixed"/>
        <w:tblCellMar>
          <w:top w:w="0" w:type="dxa"/>
          <w:left w:w="108" w:type="dxa"/>
          <w:bottom w:w="0" w:type="dxa"/>
          <w:right w:w="108" w:type="dxa"/>
        </w:tblCellMar>
      </w:tblPr>
      <w:tblGrid>
        <w:gridCol w:w="851"/>
        <w:gridCol w:w="2551"/>
        <w:gridCol w:w="6521"/>
      </w:tblGrid>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1.</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jc w:val="both"/>
              <w:rPr>
                <w:highlight w:val="none"/>
              </w:rPr>
            </w:pPr>
            <w:r>
              <w:rPr>
                <w:rFonts w:eastAsia="SimSun"/>
                <w:color w:val="000000"/>
                <w:kern w:val="2"/>
                <w:highlight w:val="none"/>
              </w:rPr>
              <w:t xml:space="preserve">Правомочність на укладення договору про закупівлю та підписання пропозиції </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rFonts w:eastAsia="SimSun"/>
                <w:b/>
                <w:color w:val="000000"/>
                <w:kern w:val="2"/>
                <w:highlight w:val="none"/>
              </w:rPr>
              <w:t>Для юридичних осіб</w:t>
            </w:r>
          </w:p>
          <w:p>
            <w:pPr>
              <w:widowControl w:val="0"/>
              <w:jc w:val="both"/>
              <w:rPr>
                <w:highlight w:val="none"/>
              </w:rPr>
            </w:pPr>
            <w:r>
              <w:rPr>
                <w:rFonts w:eastAsia="SimSun"/>
                <w:color w:val="000000"/>
                <w:kern w:val="2"/>
                <w:highlight w:val="none"/>
              </w:rPr>
              <w:t>1. Скан-копія документу(ів), що підтверджує повноваження особи, яка підписує пропозицію та/або уповноважена на підписання договору про закупівлю</w:t>
            </w:r>
          </w:p>
          <w:p>
            <w:pPr>
              <w:widowControl w:val="0"/>
              <w:jc w:val="both"/>
              <w:rPr>
                <w:highlight w:val="none"/>
              </w:rPr>
            </w:pPr>
            <w:r>
              <w:rPr>
                <w:rFonts w:eastAsia="SimSun"/>
                <w:color w:val="000000"/>
                <w:kern w:val="2"/>
                <w:highlight w:val="none"/>
              </w:rPr>
              <w:t xml:space="preserve">- виписка з протоколу засновників або копія протоколу засновників, </w:t>
            </w:r>
          </w:p>
          <w:p>
            <w:pPr>
              <w:widowControl w:val="0"/>
              <w:jc w:val="both"/>
              <w:rPr>
                <w:highlight w:val="none"/>
              </w:rPr>
            </w:pPr>
            <w:r>
              <w:rPr>
                <w:rFonts w:eastAsia="SimSun"/>
                <w:color w:val="000000"/>
                <w:kern w:val="2"/>
                <w:highlight w:val="none"/>
              </w:rPr>
              <w:t xml:space="preserve">- наказ про призначення, </w:t>
            </w:r>
          </w:p>
          <w:p>
            <w:pPr>
              <w:widowControl w:val="0"/>
              <w:jc w:val="both"/>
              <w:rPr>
                <w:highlight w:val="none"/>
              </w:rPr>
            </w:pPr>
            <w:r>
              <w:rPr>
                <w:rFonts w:eastAsia="SimSun"/>
                <w:color w:val="000000"/>
                <w:kern w:val="2"/>
                <w:highlight w:val="none"/>
              </w:rPr>
              <w:t xml:space="preserve">- довіреність або доручення </w:t>
            </w:r>
          </w:p>
          <w:p>
            <w:pPr>
              <w:widowControl w:val="0"/>
              <w:jc w:val="both"/>
              <w:rPr>
                <w:highlight w:val="none"/>
              </w:rPr>
            </w:pPr>
            <w:r>
              <w:rPr>
                <w:rFonts w:eastAsia="SimSun"/>
                <w:color w:val="000000"/>
                <w:kern w:val="2"/>
                <w:highlight w:val="none"/>
              </w:rPr>
              <w:t>- інший документ, що підтверджує повноваження посадової особи учасника на підписання документів.</w:t>
            </w:r>
          </w:p>
          <w:p>
            <w:pPr>
              <w:widowControl w:val="0"/>
              <w:jc w:val="both"/>
              <w:rPr>
                <w:highlight w:val="none"/>
              </w:rPr>
            </w:pPr>
            <w:r>
              <w:rPr>
                <w:rFonts w:eastAsia="SimSun"/>
                <w:color w:val="000000"/>
                <w:kern w:val="2"/>
                <w:highlight w:val="none"/>
              </w:rPr>
              <w:t xml:space="preserve">2. Скан-копія Статуту із змінами </w:t>
            </w:r>
            <w:r>
              <w:rPr>
                <w:rFonts w:eastAsia="SimSun"/>
                <w:i/>
                <w:iCs/>
                <w:color w:val="000000"/>
                <w:kern w:val="2"/>
                <w:highlight w:val="none"/>
              </w:rPr>
              <w:t>(в разі їх наявності)</w:t>
            </w:r>
            <w:r>
              <w:rPr>
                <w:rFonts w:eastAsia="SimSun"/>
                <w:color w:val="000000"/>
                <w:kern w:val="2"/>
                <w:highlight w:val="none"/>
              </w:rPr>
              <w:t xml:space="preserve"> або іншого установчого документу. </w:t>
            </w:r>
          </w:p>
          <w:p>
            <w:pPr>
              <w:widowControl w:val="0"/>
              <w:jc w:val="both"/>
              <w:rPr>
                <w:highlight w:val="none"/>
              </w:rPr>
            </w:pPr>
            <w:r>
              <w:rPr>
                <w:rFonts w:eastAsia="SimSun"/>
                <w:color w:val="000000"/>
                <w:kern w:val="2"/>
                <w:highlight w:val="none"/>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widowControl w:val="0"/>
              <w:jc w:val="both"/>
              <w:rPr>
                <w:highlight w:val="none"/>
              </w:rPr>
            </w:pPr>
            <w:r>
              <w:rPr>
                <w:rFonts w:eastAsia="SimSun"/>
                <w:color w:val="000000"/>
                <w:kern w:val="2"/>
                <w:highlight w:val="none"/>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jc w:val="both"/>
              <w:rPr>
                <w:highlight w:val="none"/>
              </w:rPr>
            </w:pPr>
            <w:r>
              <w:rPr>
                <w:color w:val="000000"/>
                <w:highlight w:val="none"/>
              </w:rPr>
              <w:t>3.У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jc w:val="both"/>
              <w:rPr>
                <w:highlight w:val="none"/>
              </w:rPr>
            </w:pPr>
            <w:r>
              <w:rPr>
                <w:rFonts w:eastAsia="SimSun"/>
                <w:b/>
                <w:bCs/>
                <w:color w:val="000000"/>
                <w:kern w:val="2"/>
                <w:highlight w:val="none"/>
                <w:u w:val="single"/>
              </w:rPr>
              <w:t>Для фізичних осіб-підприємців:</w:t>
            </w:r>
          </w:p>
          <w:p>
            <w:pPr>
              <w:widowControl w:val="0"/>
              <w:jc w:val="both"/>
              <w:rPr>
                <w:highlight w:val="none"/>
              </w:rPr>
            </w:pPr>
            <w:r>
              <w:rPr>
                <w:rFonts w:eastAsia="Calibri"/>
                <w:color w:val="000000"/>
                <w:highlight w:val="none"/>
              </w:rPr>
              <w:t xml:space="preserve">1. </w:t>
            </w:r>
            <w:r>
              <w:rPr>
                <w:rFonts w:eastAsia="SimSun"/>
                <w:color w:val="000000"/>
                <w:kern w:val="2"/>
                <w:highlight w:val="none"/>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widowControl w:val="0"/>
              <w:jc w:val="both"/>
              <w:rPr>
                <w:highlight w:val="none"/>
              </w:rPr>
            </w:pPr>
            <w:r>
              <w:rPr>
                <w:rFonts w:eastAsia="Calibri"/>
                <w:color w:val="000000"/>
                <w:highlight w:val="none"/>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highlight w:val="none"/>
                <w:shd w:val="clear" w:color="auto" w:fill="FFFFFF"/>
                <w:lang w:eastAsia="en-US"/>
              </w:rPr>
              <w:t> </w:t>
            </w:r>
            <w:r>
              <w:rPr>
                <w:rFonts w:eastAsia="Calibri"/>
                <w:color w:val="000000"/>
                <w:highlight w:val="none"/>
                <w:shd w:val="clear" w:color="auto" w:fill="FFFFFF"/>
                <w:lang w:eastAsia="en-US"/>
              </w:rPr>
              <w:t>*</w:t>
            </w:r>
            <w:r>
              <w:rPr>
                <w:rFonts w:eastAsia="Calibri"/>
                <w:i/>
                <w:iCs/>
                <w:color w:val="000000"/>
                <w:highlight w:val="none"/>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2.</w:t>
            </w:r>
          </w:p>
        </w:tc>
        <w:tc>
          <w:tcPr>
            <w:tcW w:w="2551" w:type="dxa"/>
            <w:tcBorders>
              <w:top w:val="single" w:color="000000" w:sz="4" w:space="0"/>
              <w:left w:val="single" w:color="000000" w:sz="4" w:space="0"/>
              <w:bottom w:val="single" w:color="000000" w:sz="4" w:space="0"/>
            </w:tcBorders>
            <w:shd w:val="clear" w:color="auto" w:fill="auto"/>
          </w:tcPr>
          <w:p>
            <w:pPr>
              <w:widowControl w:val="0"/>
              <w:rPr>
                <w:highlight w:val="none"/>
              </w:rPr>
            </w:pPr>
            <w:r>
              <w:rPr>
                <w:rFonts w:eastAsia="Calibri"/>
                <w:color w:val="000000"/>
                <w:highlight w:val="none"/>
              </w:rPr>
              <w:t>Відомості про учасника</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ind w:firstLine="284"/>
              <w:rPr>
                <w:highlight w:val="none"/>
              </w:rPr>
            </w:pPr>
            <w:r>
              <w:rPr>
                <w:rFonts w:eastAsia="Calibri"/>
                <w:color w:val="000000"/>
                <w:highlight w:val="none"/>
              </w:rPr>
              <w:t>Відомості про учасника за встановленою формою:</w:t>
            </w:r>
          </w:p>
          <w:p>
            <w:pPr>
              <w:ind w:firstLine="284"/>
              <w:jc w:val="center"/>
              <w:rPr>
                <w:highlight w:val="none"/>
              </w:rPr>
            </w:pPr>
            <w:r>
              <w:rPr>
                <w:b/>
                <w:bCs/>
                <w:color w:val="000000"/>
                <w:highlight w:val="none"/>
                <w:lang w:eastAsia="en-US"/>
              </w:rPr>
              <w:t>Форма “ВІДОМОСТІ ПРО УЧАСНИКА”</w:t>
            </w:r>
          </w:p>
          <w:p>
            <w:pPr>
              <w:widowControl w:val="0"/>
              <w:numPr>
                <w:ilvl w:val="0"/>
                <w:numId w:val="2"/>
              </w:numPr>
              <w:ind w:left="0" w:firstLine="284"/>
              <w:rPr>
                <w:highlight w:val="none"/>
              </w:rPr>
            </w:pPr>
            <w:r>
              <w:rPr>
                <w:color w:val="000000"/>
                <w:highlight w:val="none"/>
                <w:lang w:eastAsia="en-US"/>
              </w:rPr>
              <w:t>Повна та скорочена назва учасника:</w:t>
            </w:r>
          </w:p>
          <w:p>
            <w:pPr>
              <w:widowControl w:val="0"/>
              <w:numPr>
                <w:ilvl w:val="0"/>
                <w:numId w:val="3"/>
              </w:numPr>
              <w:ind w:left="0" w:firstLine="284"/>
              <w:rPr>
                <w:highlight w:val="none"/>
              </w:rPr>
            </w:pPr>
            <w:r>
              <w:rPr>
                <w:color w:val="000000"/>
                <w:highlight w:val="none"/>
                <w:lang w:eastAsia="en-US"/>
              </w:rPr>
              <w:t>Назва документа, яким затверджено Статут учасника, його номер та дата (для юридичних осіб):</w:t>
            </w:r>
          </w:p>
          <w:p>
            <w:pPr>
              <w:widowControl w:val="0"/>
              <w:numPr>
                <w:ilvl w:val="0"/>
                <w:numId w:val="3"/>
              </w:numPr>
              <w:ind w:left="0" w:firstLine="284"/>
              <w:rPr>
                <w:highlight w:val="none"/>
              </w:rPr>
            </w:pPr>
            <w:r>
              <w:rPr>
                <w:color w:val="000000"/>
                <w:highlight w:val="none"/>
                <w:lang w:eastAsia="en-US"/>
              </w:rPr>
              <w:t>Місце та дата проведення державної реєстрації учасника:</w:t>
            </w:r>
          </w:p>
          <w:p>
            <w:pPr>
              <w:widowControl w:val="0"/>
              <w:numPr>
                <w:ilvl w:val="0"/>
                <w:numId w:val="3"/>
              </w:numPr>
              <w:ind w:left="0" w:firstLine="284"/>
              <w:rPr>
                <w:highlight w:val="none"/>
              </w:rPr>
            </w:pPr>
            <w:r>
              <w:rPr>
                <w:color w:val="000000"/>
                <w:highlight w:val="none"/>
                <w:lang w:eastAsia="en-US"/>
              </w:rPr>
              <w:t xml:space="preserve">Статус учасника </w:t>
            </w:r>
            <w:r>
              <w:rPr>
                <w:color w:val="000000"/>
                <w:highlight w:val="none"/>
                <w:u w:val="single"/>
                <w:lang w:eastAsia="en-US"/>
              </w:rPr>
              <w:t>(виробник або надавач послуг або виконавець робіт, дилер, представник або ін.)</w:t>
            </w:r>
            <w:r>
              <w:rPr>
                <w:color w:val="000000"/>
                <w:highlight w:val="none"/>
                <w:lang w:eastAsia="en-US"/>
              </w:rPr>
              <w:t>:</w:t>
            </w:r>
          </w:p>
          <w:p>
            <w:pPr>
              <w:widowControl w:val="0"/>
              <w:numPr>
                <w:ilvl w:val="0"/>
                <w:numId w:val="3"/>
              </w:numPr>
              <w:ind w:left="0" w:firstLine="284"/>
              <w:rPr>
                <w:highlight w:val="none"/>
              </w:rPr>
            </w:pPr>
            <w:r>
              <w:rPr>
                <w:color w:val="000000"/>
                <w:highlight w:val="none"/>
                <w:lang w:eastAsia="en-US"/>
              </w:rPr>
              <w:t>Організаційно-правова форма:</w:t>
            </w:r>
          </w:p>
          <w:p>
            <w:pPr>
              <w:widowControl w:val="0"/>
              <w:numPr>
                <w:ilvl w:val="0"/>
                <w:numId w:val="3"/>
              </w:numPr>
              <w:ind w:left="0" w:firstLine="284"/>
              <w:rPr>
                <w:highlight w:val="none"/>
              </w:rPr>
            </w:pPr>
            <w:r>
              <w:rPr>
                <w:color w:val="000000"/>
                <w:highlight w:val="none"/>
                <w:lang w:eastAsia="en-US"/>
              </w:rPr>
              <w:t>Форма власності:</w:t>
            </w:r>
          </w:p>
          <w:p>
            <w:pPr>
              <w:widowControl w:val="0"/>
              <w:numPr>
                <w:ilvl w:val="0"/>
                <w:numId w:val="3"/>
              </w:numPr>
              <w:ind w:left="0" w:firstLine="284"/>
              <w:rPr>
                <w:highlight w:val="none"/>
              </w:rPr>
            </w:pPr>
            <w:r>
              <w:rPr>
                <w:color w:val="000000"/>
                <w:highlight w:val="none"/>
                <w:lang w:eastAsia="en-US"/>
              </w:rPr>
              <w:t>Юридична адреса:</w:t>
            </w:r>
          </w:p>
          <w:p>
            <w:pPr>
              <w:widowControl w:val="0"/>
              <w:numPr>
                <w:ilvl w:val="0"/>
                <w:numId w:val="3"/>
              </w:numPr>
              <w:ind w:left="0" w:firstLine="284"/>
              <w:rPr>
                <w:highlight w:val="none"/>
              </w:rPr>
            </w:pPr>
            <w:r>
              <w:rPr>
                <w:color w:val="000000"/>
                <w:highlight w:val="none"/>
                <w:lang w:eastAsia="en-US"/>
              </w:rPr>
              <w:t xml:space="preserve">Поштова адреса: </w:t>
            </w:r>
          </w:p>
          <w:p>
            <w:pPr>
              <w:widowControl w:val="0"/>
              <w:numPr>
                <w:ilvl w:val="0"/>
                <w:numId w:val="3"/>
              </w:numPr>
              <w:ind w:left="0" w:firstLine="284"/>
              <w:rPr>
                <w:highlight w:val="none"/>
              </w:rPr>
            </w:pPr>
            <w:r>
              <w:rPr>
                <w:rFonts w:eastAsia="Calibri"/>
                <w:color w:val="000000"/>
                <w:highlight w:val="none"/>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highlight w:val="none"/>
              </w:rPr>
              <w:t>у даному пункті зазначаються реквізити банку (банків) у якому (яких) обслуговується учасник).</w:t>
            </w:r>
          </w:p>
          <w:p>
            <w:pPr>
              <w:widowControl w:val="0"/>
              <w:numPr>
                <w:ilvl w:val="0"/>
                <w:numId w:val="3"/>
              </w:numPr>
              <w:ind w:left="0" w:firstLine="284"/>
              <w:rPr>
                <w:highlight w:val="none"/>
              </w:rPr>
            </w:pPr>
            <w:r>
              <w:rPr>
                <w:color w:val="000000"/>
                <w:highlight w:val="none"/>
                <w:lang w:eastAsia="en-US"/>
              </w:rPr>
              <w:t>Відомості про контактну(контактних) особу (осіб)учасника (ПІБ, посада, контактний мобільний телефон, е-mail , інше)</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3.</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Проєкт договору про закупівлю товару.</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Проєкт договору про закупівлю згідно </w:t>
            </w:r>
            <w:r>
              <w:rPr>
                <w:b/>
                <w:color w:val="000000"/>
                <w:kern w:val="2"/>
                <w:highlight w:val="none"/>
              </w:rPr>
              <w:t xml:space="preserve">Додатку  №3 </w:t>
            </w:r>
            <w:r>
              <w:rPr>
                <w:color w:val="000000"/>
                <w:kern w:val="2"/>
                <w:highlight w:val="none"/>
              </w:rPr>
              <w:t>(під час укладання договору його умови можуть бути змінені за взаємною згодою сторін)</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4.</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Надання згоди на використання інформації на виконання вимог  Закону України «Про захист персональних даних»</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Довідка в довільній формі або відповідно до взірця, що наведений в </w:t>
            </w:r>
            <w:r>
              <w:rPr>
                <w:b/>
                <w:color w:val="000000"/>
                <w:kern w:val="2"/>
                <w:highlight w:val="none"/>
              </w:rPr>
              <w:t>Додатку №4</w:t>
            </w:r>
            <w:r>
              <w:rPr>
                <w:color w:val="000000"/>
                <w:kern w:val="2"/>
                <w:highlight w:val="none"/>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jc w:val="both"/>
        <w:rPr>
          <w:highlight w:val="none"/>
        </w:rPr>
      </w:pPr>
      <w:r>
        <w:rPr>
          <w:i/>
          <w:iCs/>
          <w:color w:val="000000"/>
          <w:kern w:val="2"/>
          <w:highlight w:val="none"/>
        </w:rPr>
        <w:t xml:space="preserve">   </w:t>
      </w:r>
    </w:p>
    <w:p>
      <w:pPr>
        <w:jc w:val="both"/>
        <w:rPr>
          <w:i/>
          <w:iCs/>
          <w:color w:val="000000"/>
          <w:kern w:val="2"/>
          <w:highlight w:val="none"/>
        </w:rPr>
      </w:pPr>
      <w:r>
        <w:rPr>
          <w:i/>
          <w:iCs/>
          <w:color w:val="000000"/>
          <w:kern w:val="2"/>
          <w:highlight w:val="none"/>
        </w:rPr>
        <w:t xml:space="preserve">  </w:t>
      </w:r>
    </w:p>
    <w:p>
      <w:pPr>
        <w:jc w:val="both"/>
        <w:rPr>
          <w:i/>
          <w:iCs/>
          <w:color w:val="000000"/>
          <w:kern w:val="2"/>
          <w:highlight w:val="none"/>
        </w:rPr>
      </w:pPr>
    </w:p>
    <w:p>
      <w:pPr>
        <w:jc w:val="both"/>
        <w:rPr>
          <w:i/>
          <w:iCs/>
          <w:color w:val="000000"/>
          <w:kern w:val="2"/>
          <w:highlight w:val="none"/>
        </w:rPr>
      </w:pPr>
    </w:p>
    <w:p>
      <w:pPr>
        <w:jc w:val="both"/>
        <w:rPr>
          <w:highlight w:val="none"/>
        </w:rPr>
      </w:pPr>
    </w:p>
    <w:p>
      <w:pPr>
        <w:jc w:val="both"/>
        <w:rPr>
          <w:rFonts w:eastAsia="SimSun"/>
          <w:b/>
          <w:i/>
          <w:iCs/>
          <w:color w:val="000000"/>
          <w:kern w:val="2"/>
          <w:highlight w:val="none"/>
        </w:rPr>
      </w:pPr>
    </w:p>
    <w:p>
      <w:pPr>
        <w:jc w:val="right"/>
        <w:rPr>
          <w:highlight w:val="none"/>
        </w:rPr>
      </w:pPr>
      <w:r>
        <w:rPr>
          <w:b/>
          <w:bCs/>
          <w:color w:val="000000"/>
          <w:highlight w:val="none"/>
        </w:rPr>
        <w:t>ДОДАТОК №2</w:t>
      </w:r>
    </w:p>
    <w:p>
      <w:pPr>
        <w:jc w:val="center"/>
        <w:rPr>
          <w:highlight w:val="none"/>
        </w:rPr>
      </w:pPr>
      <w:r>
        <w:rPr>
          <w:b/>
          <w:bCs/>
          <w:iCs/>
          <w:color w:val="000000"/>
          <w:highlight w:val="none"/>
        </w:rPr>
        <w:t>Технічна специфікація</w:t>
      </w:r>
    </w:p>
    <w:p>
      <w:pPr>
        <w:jc w:val="center"/>
        <w:rPr>
          <w:highlight w:val="none"/>
        </w:rPr>
      </w:pPr>
      <w:r>
        <w:rPr>
          <w:rFonts w:eastAsia="Calibri"/>
          <w:b/>
          <w:bCs/>
          <w:highlight w:val="none"/>
        </w:rPr>
        <w:t xml:space="preserve">(Інформація про необхідні технічні, якісні та кількісні характеристики предмета закупівлі) </w:t>
      </w:r>
    </w:p>
    <w:p>
      <w:pPr>
        <w:rPr>
          <w:highlight w:val="none"/>
        </w:rPr>
      </w:pPr>
      <w:r>
        <w:rPr>
          <w:b/>
          <w:bCs/>
          <w:color w:val="000000"/>
          <w:highlight w:val="none"/>
        </w:rPr>
        <w:tab/>
      </w:r>
      <w:r>
        <w:rPr>
          <w:color w:val="000000"/>
          <w:highlight w:val="none"/>
        </w:rPr>
        <w:t xml:space="preserve">Технічні вимоги </w:t>
      </w:r>
      <w:r>
        <w:rPr>
          <w:b/>
          <w:bCs/>
          <w:i/>
          <w:iCs/>
          <w:color w:val="000000"/>
          <w:highlight w:val="none"/>
        </w:rPr>
        <w:t>подано в окремому файлі «Додаток №2 Технічна специфікація. docx» до закупівлі.</w:t>
      </w:r>
    </w:p>
    <w:p>
      <w:pPr>
        <w:jc w:val="right"/>
        <w:rPr>
          <w:b/>
          <w:bCs/>
          <w:i/>
          <w:iCs/>
          <w:color w:val="000000"/>
          <w:highlight w:val="none"/>
        </w:rPr>
      </w:pPr>
    </w:p>
    <w:p>
      <w:pPr>
        <w:rPr>
          <w:i/>
          <w:iCs/>
          <w:color w:val="000000"/>
          <w:highlight w:val="none"/>
        </w:rPr>
      </w:pPr>
    </w:p>
    <w:p>
      <w:pPr>
        <w:jc w:val="right"/>
        <w:rPr>
          <w:highlight w:val="none"/>
        </w:rPr>
      </w:pPr>
      <w:r>
        <w:rPr>
          <w:b/>
          <w:color w:val="000000"/>
          <w:highlight w:val="none"/>
        </w:rPr>
        <w:t>ДОДАТОК №4</w:t>
      </w:r>
    </w:p>
    <w:p>
      <w:pPr>
        <w:jc w:val="right"/>
        <w:rPr>
          <w:b/>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highlight w:val="none"/>
        </w:rPr>
      </w:pPr>
      <w:r>
        <w:rPr>
          <w:b/>
          <w:color w:val="000000"/>
          <w:highlight w:val="none"/>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highlight w:val="none"/>
        </w:rPr>
      </w:pPr>
    </w:p>
    <w:p>
      <w:pPr>
        <w:tabs>
          <w:tab w:val="left" w:pos="3345"/>
        </w:tabs>
        <w:jc w:val="center"/>
        <w:rPr>
          <w:highlight w:val="none"/>
        </w:rPr>
      </w:pPr>
      <w:r>
        <w:rPr>
          <w:b/>
          <w:color w:val="000000"/>
          <w:highlight w:val="none"/>
        </w:rPr>
        <w:t>Лист-згода на обробку персональних даних</w:t>
      </w:r>
    </w:p>
    <w:p>
      <w:pPr>
        <w:tabs>
          <w:tab w:val="left" w:pos="3345"/>
        </w:tabs>
        <w:rPr>
          <w:b/>
          <w:color w:val="000000"/>
          <w:highlight w:val="none"/>
        </w:rPr>
      </w:pPr>
    </w:p>
    <w:p>
      <w:pPr>
        <w:tabs>
          <w:tab w:val="left" w:pos="0"/>
        </w:tabs>
        <w:jc w:val="both"/>
        <w:rPr>
          <w:highlight w:val="none"/>
        </w:rPr>
      </w:pPr>
      <w:r>
        <w:rPr>
          <w:color w:val="000000"/>
          <w:highlight w:val="none"/>
        </w:rPr>
        <w:tab/>
      </w:r>
      <w:r>
        <w:rPr>
          <w:color w:val="000000"/>
          <w:highlight w:val="none"/>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r>
        <w:rPr>
          <w:i/>
          <w:color w:val="000000"/>
          <w:highlight w:val="none"/>
        </w:rPr>
        <w:t>Посада, прізвище, ініціали, підпис уповноваженої особи учасника, завірені печаткою(у разі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highlight w:val="none"/>
        </w:rPr>
      </w:pPr>
    </w:p>
    <w:p>
      <w:pPr>
        <w:jc w:val="right"/>
        <w:rPr>
          <w:i/>
          <w:color w:val="000000"/>
          <w:sz w:val="20"/>
          <w:szCs w:val="20"/>
          <w:highlight w:val="none"/>
        </w:rPr>
      </w:pPr>
    </w:p>
    <w:p>
      <w:pPr>
        <w:rPr>
          <w:b/>
          <w:color w:val="000000"/>
          <w:highlight w:val="none"/>
        </w:rPr>
      </w:pPr>
      <w:r>
        <w:rPr>
          <w:b/>
          <w:color w:val="000000"/>
          <w:highlight w:val="none"/>
        </w:rPr>
        <w:t>Лист згода на обробку персональних даних всіх осіб, персональні дані яких зазначаються у складі тендерних пропозицій учасників</w:t>
      </w:r>
    </w:p>
    <w:p>
      <w:pPr>
        <w:jc w:val="right"/>
        <w:rPr>
          <w:i/>
          <w:color w:val="000000"/>
          <w:sz w:val="20"/>
          <w:szCs w:val="20"/>
          <w:highlight w:val="none"/>
        </w:rPr>
      </w:pPr>
    </w:p>
    <w:p>
      <w:pPr>
        <w:jc w:val="right"/>
        <w:rPr>
          <w:b/>
          <w:color w:val="000000"/>
        </w:rPr>
      </w:pPr>
    </w:p>
    <w:p>
      <w:pPr>
        <w:jc w:val="right"/>
        <w:rPr>
          <w:b/>
          <w:color w:val="000000"/>
        </w:rPr>
      </w:pPr>
    </w:p>
    <w:p>
      <w:pPr>
        <w:jc w:val="right"/>
        <w:rPr>
          <w:b/>
          <w:color w:val="000000"/>
        </w:rPr>
      </w:pP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lvlText w:val="%1."/>
      <w:lvlJc w:val="left"/>
      <w:pPr>
        <w:tabs>
          <w:tab w:val="left" w:pos="360"/>
        </w:tabs>
        <w:ind w:left="360" w:hanging="360"/>
      </w:pPr>
      <w:rPr>
        <w:rFonts w:hint="default" w:eastAsia="Calibri" w:cs="Times New Roman"/>
        <w:i/>
        <w:color w:val="000000"/>
        <w:u w:val="none"/>
        <w:lang w:val="uk-UA" w:eastAsia="en-US"/>
      </w:r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cs="Times New Roman"/>
        <w:color w:val="000000"/>
        <w:u w:val="none"/>
        <w:lang w:eastAsia="en-US"/>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03126E85"/>
    <w:multiLevelType w:val="multilevel"/>
    <w:tmpl w:val="03126E85"/>
    <w:lvl w:ilvl="0" w:tentative="0">
      <w:start w:val="1"/>
      <w:numFmt w:val="decimal"/>
      <w:lvlText w:val="%1."/>
      <w:lvlJc w:val="left"/>
      <w:pPr>
        <w:ind w:left="420" w:hanging="360"/>
      </w:pPr>
      <w:rPr>
        <w:b/>
        <w:color w:val="auto"/>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5E482D"/>
    <w:rsid w:val="00756E46"/>
    <w:rsid w:val="007B6D59"/>
    <w:rsid w:val="009B4F8B"/>
    <w:rsid w:val="00D1297E"/>
    <w:rsid w:val="1FB01E14"/>
    <w:rsid w:val="47826DEE"/>
    <w:rsid w:val="4DD568D1"/>
    <w:rsid w:val="55A15921"/>
    <w:rsid w:val="57055438"/>
    <w:rsid w:val="6A067814"/>
    <w:rsid w:val="737467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uk-UA"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Liberation Serif" w:hAnsi="Liberation Serif" w:eastAsia="SimSun" w:cs="Mangal"/>
      <w:color w:val="auto"/>
      <w:kern w:val="2"/>
      <w:sz w:val="24"/>
      <w:szCs w:val="24"/>
      <w:lang w:val="en-US" w:eastAsia="zh-CN" w:bidi="ar"/>
    </w:rPr>
  </w:style>
  <w:style w:type="character" w:customStyle="1" w:styleId="6">
    <w:name w:val="Виділення1"/>
    <w:qFormat/>
    <w:uiPriority w:val="0"/>
    <w:rPr>
      <w:i/>
    </w:rPr>
  </w:style>
  <w:style w:type="paragraph" w:styleId="7">
    <w:name w:val="No Spacing"/>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1573</Words>
  <Characters>8967</Characters>
  <Lines>74</Lines>
  <Paragraphs>21</Paragraphs>
  <TotalTime>4</TotalTime>
  <ScaleCrop>false</ScaleCrop>
  <LinksUpToDate>false</LinksUpToDate>
  <CharactersWithSpaces>10519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2023-03-08T09:42:00Z</dcterms:created>
  <dc:creator>Hp</dc:creator>
  <cp:lastModifiedBy>Юлія Щеглова</cp:lastModifiedBy>
  <dcterms:modified xsi:type="dcterms:W3CDTF">2023-03-28T07:28:47Z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425429BC60624A77AE377351FF2D121B</vt:lpwstr>
  </property>
</Properties>
</file>