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A9E7" w14:textId="69B76EE1" w:rsidR="003713FF" w:rsidRPr="003713FF" w:rsidRDefault="003713FF" w:rsidP="003713FF">
      <w:pPr>
        <w:spacing w:before="480" w:after="100" w:afterAutospacing="1" w:line="240" w:lineRule="auto"/>
        <w:outlineLvl w:val="2"/>
        <w:rPr>
          <w:rFonts w:ascii="Times New Roman" w:hAnsi="Times New Roman"/>
          <w:b/>
          <w:color w:val="FF0000"/>
          <w:sz w:val="27"/>
          <w:lang w:val="uk-UA"/>
        </w:rPr>
      </w:pPr>
      <w:r w:rsidRPr="003713FF">
        <w:rPr>
          <w:rFonts w:ascii="Times New Roman" w:hAnsi="Times New Roman"/>
          <w:b/>
          <w:color w:val="FF0000"/>
          <w:sz w:val="27"/>
          <w:lang w:val="uk-UA"/>
        </w:rPr>
        <w:t xml:space="preserve">ПРОЄКТ </w:t>
      </w:r>
    </w:p>
    <w:p w14:paraId="0A6D1FE8" w14:textId="5B0D9443"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rFonts w:ascii="Times New Roman" w:eastAsia="Times New Roman" w:hAnsi="Times New Roman" w:cs="Times New Roman"/>
          <w:sz w:val="24"/>
          <w:szCs w:val="24"/>
        </w:rPr>
        <w:t>Кабміну від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lastRenderedPageBreak/>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 xml:space="preserve">або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 xml:space="preserve">проводиться за вимогою однієї із Сторін, шляхом складання двостороннього акту звіряння взаєморозрахунків. Один примірник цього акту </w:t>
      </w:r>
      <w:r w:rsidR="004E7EA4" w:rsidRPr="00FC37E4">
        <w:rPr>
          <w:rFonts w:ascii="Times New Roman" w:hAnsi="Times New Roman"/>
          <w:sz w:val="24"/>
          <w:lang w:val="uk-UA"/>
        </w:rPr>
        <w:lastRenderedPageBreak/>
        <w:t>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w:t>
      </w:r>
      <w:r w:rsidR="00106760" w:rsidRPr="00FC37E4">
        <w:rPr>
          <w:rFonts w:ascii="Times New Roman" w:hAnsi="Times New Roman"/>
          <w:sz w:val="24"/>
          <w:lang w:val="uk-UA"/>
        </w:rPr>
        <w:lastRenderedPageBreak/>
        <w:t>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08F1F9DD" w14:textId="77777777" w:rsidR="006C1C0F" w:rsidRDefault="006C1C0F" w:rsidP="006C1C0F">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460B4929" w14:textId="77777777" w:rsidR="006C1C0F" w:rsidRPr="00FC37E4" w:rsidRDefault="006C1C0F" w:rsidP="006C1C0F">
      <w:pPr>
        <w:spacing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16015A"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w:t>
      </w:r>
      <w:r w:rsidRPr="0016015A">
        <w:rPr>
          <w:sz w:val="24"/>
          <w:szCs w:val="24"/>
        </w:rPr>
        <w:t xml:space="preserve">видатки на </w:t>
      </w:r>
      <w:r w:rsidR="00DB2AC6" w:rsidRPr="0016015A">
        <w:rPr>
          <w:sz w:val="24"/>
          <w:szCs w:val="24"/>
        </w:rPr>
        <w:t xml:space="preserve">досягнення </w:t>
      </w:r>
      <w:r w:rsidRPr="0016015A">
        <w:rPr>
          <w:sz w:val="24"/>
          <w:szCs w:val="24"/>
        </w:rPr>
        <w:t>ц</w:t>
      </w:r>
      <w:r w:rsidR="00DB2AC6" w:rsidRPr="0016015A">
        <w:rPr>
          <w:sz w:val="24"/>
          <w:szCs w:val="24"/>
        </w:rPr>
        <w:t>ієї</w:t>
      </w:r>
      <w:r w:rsidRPr="0016015A">
        <w:rPr>
          <w:sz w:val="24"/>
          <w:szCs w:val="24"/>
        </w:rPr>
        <w:t xml:space="preserve"> </w:t>
      </w:r>
      <w:r w:rsidR="00DB2AC6" w:rsidRPr="0016015A">
        <w:rPr>
          <w:sz w:val="24"/>
          <w:szCs w:val="24"/>
        </w:rPr>
        <w:t xml:space="preserve">цілі </w:t>
      </w:r>
      <w:r w:rsidRPr="0016015A">
        <w:rPr>
          <w:sz w:val="24"/>
          <w:szCs w:val="24"/>
        </w:rPr>
        <w:t>затверджено в установленому порядку.</w:t>
      </w:r>
      <w:r w:rsidR="00DB2AC6" w:rsidRPr="0016015A">
        <w:rPr>
          <w:sz w:val="24"/>
          <w:szCs w:val="24"/>
        </w:rPr>
        <w:t xml:space="preserve"> </w:t>
      </w:r>
    </w:p>
    <w:p w14:paraId="7BD72C31" w14:textId="06576DF6" w:rsidR="001B092D" w:rsidRPr="0016015A" w:rsidRDefault="000F50FA" w:rsidP="00C74352">
      <w:pPr>
        <w:pStyle w:val="af1"/>
        <w:tabs>
          <w:tab w:val="left" w:pos="0"/>
          <w:tab w:val="left" w:pos="142"/>
        </w:tabs>
        <w:spacing w:after="60"/>
        <w:ind w:firstLine="709"/>
        <w:rPr>
          <w:color w:val="000000"/>
          <w:sz w:val="24"/>
          <w:szCs w:val="24"/>
        </w:rPr>
      </w:pPr>
      <w:r w:rsidRPr="0016015A">
        <w:rPr>
          <w:sz w:val="24"/>
          <w:szCs w:val="24"/>
        </w:rPr>
        <w:t>12.</w:t>
      </w:r>
      <w:r w:rsidR="004D79F2" w:rsidRPr="0016015A">
        <w:rPr>
          <w:sz w:val="24"/>
          <w:szCs w:val="24"/>
        </w:rPr>
        <w:t>3</w:t>
      </w:r>
      <w:r w:rsidRPr="0016015A">
        <w:rPr>
          <w:sz w:val="24"/>
          <w:szCs w:val="24"/>
        </w:rPr>
        <w:t xml:space="preserve">. </w:t>
      </w:r>
      <w:r w:rsidR="00445100" w:rsidRPr="0016015A">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16015A">
        <w:rPr>
          <w:sz w:val="24"/>
          <w:szCs w:val="24"/>
        </w:rPr>
        <w:t>передбачених діючим законодавством</w:t>
      </w:r>
      <w:r w:rsidR="002B3E17" w:rsidRPr="0016015A">
        <w:rPr>
          <w:sz w:val="24"/>
          <w:szCs w:val="24"/>
        </w:rPr>
        <w:t xml:space="preserve"> </w:t>
      </w:r>
      <w:r w:rsidR="002B3E17" w:rsidRPr="0016015A">
        <w:rPr>
          <w:color w:val="000000"/>
          <w:sz w:val="24"/>
          <w:szCs w:val="24"/>
        </w:rPr>
        <w:t>крім випадків, передбачених Договором та п.19 Особливостей:</w:t>
      </w:r>
    </w:p>
    <w:p w14:paraId="1162BBC4"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CA002F"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775C478"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FF0EAE"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2E2EFF1"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1BDC5F"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14:paraId="32E210F6"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5B18F27"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A5D9E">
        <w:rPr>
          <w:rFonts w:ascii="Times New Roman" w:eastAsia="Times New Roman" w:hAnsi="Times New Roman" w:cs="Times New Roman"/>
          <w:sz w:val="24"/>
          <w:szCs w:val="24"/>
          <w:lang w:val="uk-UA" w:eastAsia="ru-RU"/>
        </w:rPr>
        <w:lastRenderedPageBreak/>
        <w:t xml:space="preserve">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7CD8038" w14:textId="77777777" w:rsidR="003A5D9E" w:rsidRPr="003A5D9E" w:rsidRDefault="003A5D9E" w:rsidP="003A5D9E">
      <w:pPr>
        <w:spacing w:after="160" w:line="259" w:lineRule="auto"/>
        <w:jc w:val="both"/>
        <w:rPr>
          <w:rFonts w:ascii="Times New Roman" w:eastAsia="Times New Roman" w:hAnsi="Times New Roman" w:cs="Times New Roman"/>
          <w:sz w:val="24"/>
          <w:szCs w:val="24"/>
          <w:lang w:val="uk-UA" w:eastAsia="ru-RU"/>
        </w:rPr>
      </w:pPr>
      <w:r w:rsidRPr="003A5D9E">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29B4E0C1" w14:textId="11BCAEE7" w:rsidR="002B3E17" w:rsidRPr="0016015A" w:rsidRDefault="003A5D9E" w:rsidP="003A5D9E">
      <w:pPr>
        <w:pStyle w:val="af1"/>
        <w:tabs>
          <w:tab w:val="left" w:pos="0"/>
          <w:tab w:val="left" w:pos="142"/>
        </w:tabs>
        <w:spacing w:after="60"/>
        <w:ind w:firstLine="0"/>
        <w:rPr>
          <w:sz w:val="24"/>
          <w:szCs w:val="24"/>
        </w:rPr>
      </w:pPr>
      <w:r w:rsidRPr="003A5D9E">
        <w:rPr>
          <w:rFonts w:eastAsia="Calibri"/>
          <w:sz w:val="24"/>
          <w:szCs w:val="22"/>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3A5D9E">
          <w:rPr>
            <w:rFonts w:eastAsia="Calibri"/>
            <w:sz w:val="24"/>
            <w:szCs w:val="22"/>
            <w:u w:val="single"/>
            <w:shd w:val="clear" w:color="auto" w:fill="FFFFFF"/>
          </w:rPr>
          <w:t>№ 382</w:t>
        </w:r>
      </w:hyperlink>
      <w:r w:rsidRPr="003A5D9E">
        <w:rPr>
          <w:rFonts w:eastAsia="Calibri"/>
          <w:sz w:val="24"/>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 w:name="_GoBack"/>
      <w:bookmarkEnd w:id="1"/>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16015A">
        <w:rPr>
          <w:rFonts w:ascii="Times New Roman" w:hAnsi="Times New Roman" w:cs="Times New Roman"/>
          <w:sz w:val="24"/>
          <w:szCs w:val="24"/>
          <w:lang w:val="uk-UA"/>
        </w:rPr>
        <w:t>12.</w:t>
      </w:r>
      <w:r w:rsidR="00602B33" w:rsidRPr="0016015A">
        <w:rPr>
          <w:rFonts w:ascii="Times New Roman" w:hAnsi="Times New Roman" w:cs="Times New Roman"/>
          <w:sz w:val="24"/>
          <w:szCs w:val="24"/>
          <w:lang w:val="uk-UA"/>
        </w:rPr>
        <w:t>4</w:t>
      </w:r>
      <w:r w:rsidRPr="0016015A">
        <w:rPr>
          <w:rFonts w:ascii="Times New Roman" w:hAnsi="Times New Roman" w:cs="Times New Roman"/>
          <w:sz w:val="24"/>
          <w:szCs w:val="24"/>
          <w:lang w:val="uk-UA"/>
        </w:rPr>
        <w:t xml:space="preserve">. </w:t>
      </w:r>
      <w:r w:rsidR="00547919" w:rsidRPr="0016015A">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w:t>
      </w:r>
      <w:r w:rsidR="00547919" w:rsidRPr="00FC37E4">
        <w:rPr>
          <w:rFonts w:ascii="Times New Roman" w:hAnsi="Times New Roman" w:cs="Times New Roman"/>
          <w:sz w:val="24"/>
          <w:szCs w:val="24"/>
          <w:lang w:val="uk-UA"/>
        </w:rPr>
        <w:t xml:space="preserve">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lastRenderedPageBreak/>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499B" w14:textId="77777777" w:rsidR="00A0616A" w:rsidRDefault="00A0616A" w:rsidP="005A6197">
      <w:pPr>
        <w:spacing w:after="0" w:line="240" w:lineRule="auto"/>
      </w:pPr>
      <w:r>
        <w:separator/>
      </w:r>
    </w:p>
  </w:endnote>
  <w:endnote w:type="continuationSeparator" w:id="0">
    <w:p w14:paraId="71D66526" w14:textId="77777777" w:rsidR="00A0616A" w:rsidRDefault="00A0616A" w:rsidP="005A6197">
      <w:pPr>
        <w:spacing w:after="0" w:line="240" w:lineRule="auto"/>
      </w:pPr>
      <w:r>
        <w:continuationSeparator/>
      </w:r>
    </w:p>
  </w:endnote>
  <w:endnote w:type="continuationNotice" w:id="1">
    <w:p w14:paraId="3961358C" w14:textId="77777777" w:rsidR="00A0616A" w:rsidRDefault="00A0616A"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1AF3706B"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3A5D9E">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F531552"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3A5D9E">
          <w:rPr>
            <w:rFonts w:ascii="Times New Roman" w:hAnsi="Times New Roman" w:cs="Times New Roman"/>
            <w:noProof/>
            <w:sz w:val="20"/>
            <w:szCs w:val="20"/>
          </w:rPr>
          <w:t>11</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F706" w14:textId="77777777" w:rsidR="00A0616A" w:rsidRDefault="00A0616A" w:rsidP="005A6197">
      <w:pPr>
        <w:spacing w:after="0" w:line="240" w:lineRule="auto"/>
      </w:pPr>
      <w:r>
        <w:separator/>
      </w:r>
    </w:p>
  </w:footnote>
  <w:footnote w:type="continuationSeparator" w:id="0">
    <w:p w14:paraId="587763C7" w14:textId="77777777" w:rsidR="00A0616A" w:rsidRDefault="00A0616A" w:rsidP="005A6197">
      <w:pPr>
        <w:spacing w:after="0" w:line="240" w:lineRule="auto"/>
      </w:pPr>
      <w:r>
        <w:continuationSeparator/>
      </w:r>
    </w:p>
  </w:footnote>
  <w:footnote w:type="continuationNotice" w:id="1">
    <w:p w14:paraId="46BD17B6" w14:textId="77777777" w:rsidR="00A0616A" w:rsidRDefault="00A0616A"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ocumentProtection w:edit="trackedChanges" w:enforcement="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6015A"/>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3FF"/>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5D9E"/>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1C0F"/>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616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E1736"/>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84D7"/>
  <w15:docId w15:val="{0C46590F-A253-4BF4-B8E6-31BE802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82-2023-%D0%B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C88DE9-0CD5-49D7-B926-706F6704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20926</Words>
  <Characters>11928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Lymar Oksana</dc:creator>
  <cp:keywords/>
  <dc:description/>
  <cp:lastModifiedBy>1</cp:lastModifiedBy>
  <cp:revision>6</cp:revision>
  <cp:lastPrinted>2020-01-16T16:06:00Z</cp:lastPrinted>
  <dcterms:created xsi:type="dcterms:W3CDTF">2023-11-14T06:26:00Z</dcterms:created>
  <dcterms:modified xsi:type="dcterms:W3CDTF">2023-12-19T07:56:00Z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