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pPr>
        <w:shd w:val="clear" w:color="auto" w:fill="FFFFFF"/>
        <w:jc w:val="center"/>
        <w:rPr>
          <w:b/>
        </w:rPr>
      </w:pPr>
      <w:r>
        <w:rPr>
          <w:b/>
          <w:lang w:val="en-US"/>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0000006" w14:textId="77777777" w:rsidR="009C2CDA" w:rsidRPr="005E665C" w:rsidRDefault="009C2CDA">
      <w:pPr>
        <w:shd w:val="clear" w:color="auto" w:fill="FFFFFF"/>
        <w:jc w:val="center"/>
        <w:rPr>
          <w:b/>
        </w:rPr>
      </w:pPr>
    </w:p>
    <w:p w14:paraId="00000007" w14:textId="77777777" w:rsidR="009C2CDA" w:rsidRPr="005E665C" w:rsidRDefault="009C2CDA">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249F3" w:rsidRDefault="00F249F3" w:rsidP="00F249F3">
            <w:pPr>
              <w:pBdr>
                <w:top w:val="nil"/>
                <w:left w:val="nil"/>
                <w:bottom w:val="nil"/>
                <w:right w:val="nil"/>
                <w:between w:val="nil"/>
              </w:pBdr>
              <w:shd w:val="clear" w:color="auto" w:fill="FFFFFF"/>
              <w:ind w:left="851"/>
              <w:rPr>
                <w:bCs/>
                <w:i/>
                <w:iCs/>
                <w:lang w:val="ru-RU"/>
              </w:rPr>
            </w:pPr>
            <w:r w:rsidRPr="00F249F3">
              <w:rPr>
                <w:bCs/>
                <w:i/>
                <w:iCs/>
                <w:lang w:val="ru-RU"/>
              </w:rPr>
              <w:t>«ЗАТВЕРДЖЕНО»:</w:t>
            </w:r>
          </w:p>
          <w:p w14:paraId="5C3BD7AA" w14:textId="77777777" w:rsidR="00F249F3" w:rsidRPr="00F249F3" w:rsidRDefault="00F249F3" w:rsidP="00F249F3">
            <w:pPr>
              <w:pBdr>
                <w:top w:val="nil"/>
                <w:left w:val="nil"/>
                <w:bottom w:val="nil"/>
                <w:right w:val="nil"/>
                <w:between w:val="nil"/>
              </w:pBdr>
              <w:shd w:val="clear" w:color="auto" w:fill="FFFFFF"/>
              <w:ind w:left="851"/>
              <w:rPr>
                <w:bCs/>
                <w:i/>
                <w:iCs/>
                <w:lang w:val="ru-RU"/>
              </w:rPr>
            </w:pPr>
            <w:proofErr w:type="spellStart"/>
            <w:r w:rsidRPr="00F249F3">
              <w:rPr>
                <w:bCs/>
                <w:i/>
                <w:iCs/>
                <w:lang w:val="ru-RU"/>
              </w:rPr>
              <w:t>Рішенням</w:t>
            </w:r>
            <w:proofErr w:type="spellEnd"/>
            <w:r w:rsidRPr="00F249F3">
              <w:rPr>
                <w:bCs/>
                <w:i/>
                <w:iCs/>
                <w:lang w:val="ru-RU"/>
              </w:rPr>
              <w:t xml:space="preserve"> </w:t>
            </w:r>
            <w:proofErr w:type="spellStart"/>
            <w:r w:rsidRPr="00F249F3">
              <w:rPr>
                <w:bCs/>
                <w:i/>
                <w:iCs/>
                <w:lang w:val="ru-RU"/>
              </w:rPr>
              <w:t>Уповноваженої</w:t>
            </w:r>
            <w:proofErr w:type="spellEnd"/>
            <w:r w:rsidRPr="00F249F3">
              <w:rPr>
                <w:bCs/>
                <w:i/>
                <w:iCs/>
                <w:lang w:val="ru-RU"/>
              </w:rPr>
              <w:t xml:space="preserve"> особи</w:t>
            </w:r>
            <w:r w:rsidRPr="00F249F3">
              <w:rPr>
                <w:i/>
                <w:iCs/>
                <w:noProof/>
                <w:lang w:val="en-US"/>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05B9445F" w:rsidR="00F249F3" w:rsidRPr="00F249F3" w:rsidRDefault="00F249F3" w:rsidP="00F249F3">
            <w:pPr>
              <w:pBdr>
                <w:top w:val="nil"/>
                <w:left w:val="nil"/>
                <w:bottom w:val="nil"/>
                <w:right w:val="nil"/>
                <w:between w:val="nil"/>
              </w:pBdr>
              <w:shd w:val="clear" w:color="auto" w:fill="FFFFFF"/>
              <w:ind w:left="851"/>
              <w:rPr>
                <w:i/>
                <w:iCs/>
                <w:lang w:val="ru-RU"/>
              </w:rPr>
            </w:pPr>
            <w:r w:rsidRPr="00F249F3">
              <w:rPr>
                <w:i/>
                <w:iCs/>
                <w:lang w:val="ru-RU"/>
              </w:rPr>
              <w:t xml:space="preserve">Протокол  </w:t>
            </w:r>
            <w:proofErr w:type="spellStart"/>
            <w:r w:rsidRPr="00F249F3">
              <w:rPr>
                <w:i/>
                <w:iCs/>
                <w:lang w:val="ru-RU"/>
              </w:rPr>
              <w:t>від</w:t>
            </w:r>
            <w:proofErr w:type="spellEnd"/>
            <w:r w:rsidRPr="00F249F3">
              <w:rPr>
                <w:i/>
                <w:iCs/>
                <w:lang w:val="ru-RU"/>
              </w:rPr>
              <w:t xml:space="preserve"> </w:t>
            </w:r>
            <w:r w:rsidR="0043026C">
              <w:rPr>
                <w:i/>
                <w:iCs/>
                <w:lang w:val="ru-RU"/>
              </w:rPr>
              <w:t>03.04.2023</w:t>
            </w:r>
            <w:r w:rsidRPr="00F249F3">
              <w:rPr>
                <w:i/>
                <w:iCs/>
                <w:lang w:val="ru-RU"/>
              </w:rPr>
              <w:t xml:space="preserve"> р.</w:t>
            </w:r>
          </w:p>
          <w:p w14:paraId="2D37D14E" w14:textId="77777777" w:rsidR="00F249F3" w:rsidRPr="00F249F3" w:rsidRDefault="00F249F3" w:rsidP="00F249F3">
            <w:pPr>
              <w:pBdr>
                <w:top w:val="nil"/>
                <w:left w:val="nil"/>
                <w:bottom w:val="nil"/>
                <w:right w:val="nil"/>
                <w:between w:val="nil"/>
              </w:pBdr>
              <w:shd w:val="clear" w:color="auto" w:fill="FFFFFF"/>
              <w:ind w:left="851"/>
              <w:rPr>
                <w:i/>
                <w:iCs/>
                <w:lang w:val="ru-RU"/>
              </w:rPr>
            </w:pPr>
            <w:proofErr w:type="spellStart"/>
            <w:r w:rsidRPr="00F249F3">
              <w:rPr>
                <w:i/>
                <w:iCs/>
                <w:lang w:val="ru-RU"/>
              </w:rPr>
              <w:t>Уповноважена</w:t>
            </w:r>
            <w:proofErr w:type="spellEnd"/>
            <w:r w:rsidRPr="00F249F3">
              <w:rPr>
                <w:i/>
                <w:iCs/>
                <w:lang w:val="ru-RU"/>
              </w:rPr>
              <w:t xml:space="preserve"> особа</w:t>
            </w:r>
          </w:p>
          <w:p w14:paraId="0000000D" w14:textId="77777777" w:rsidR="009C2CDA" w:rsidRPr="005E665C" w:rsidRDefault="009C2CDA" w:rsidP="0043026C">
            <w:pPr>
              <w:pBdr>
                <w:top w:val="nil"/>
                <w:left w:val="nil"/>
                <w:bottom w:val="nil"/>
                <w:right w:val="nil"/>
                <w:between w:val="nil"/>
              </w:pBdr>
              <w:shd w:val="clear" w:color="auto" w:fill="FFFFFF"/>
              <w:ind w:left="851"/>
            </w:pPr>
          </w:p>
        </w:tc>
      </w:tr>
    </w:tbl>
    <w:p w14:paraId="0000000E" w14:textId="77777777" w:rsidR="009C2CDA" w:rsidRPr="005E665C" w:rsidRDefault="009C2CDA">
      <w:pPr>
        <w:shd w:val="clear" w:color="auto" w:fill="FFFFFF"/>
        <w:jc w:val="center"/>
        <w:rPr>
          <w:b/>
        </w:rPr>
      </w:pPr>
    </w:p>
    <w:p w14:paraId="0000000F" w14:textId="77777777" w:rsidR="009C2CDA" w:rsidRPr="005E665C" w:rsidRDefault="009C2CDA">
      <w:pPr>
        <w:shd w:val="clear" w:color="auto" w:fill="FFFFFF"/>
        <w:jc w:val="center"/>
        <w:rPr>
          <w:b/>
        </w:rPr>
      </w:pPr>
    </w:p>
    <w:p w14:paraId="00000016" w14:textId="77777777" w:rsidR="009C2CDA" w:rsidRPr="005E665C" w:rsidRDefault="009C2CDA">
      <w:pPr>
        <w:shd w:val="clear" w:color="auto" w:fill="FFFFFF"/>
        <w:jc w:val="center"/>
        <w:rPr>
          <w:b/>
        </w:rPr>
      </w:pPr>
    </w:p>
    <w:p w14:paraId="0000001A" w14:textId="77777777" w:rsidR="009C2CDA" w:rsidRPr="005E665C" w:rsidRDefault="009C2CDA" w:rsidP="00B301A7">
      <w:pPr>
        <w:shd w:val="clear" w:color="auto" w:fill="FFFFFF"/>
        <w:rPr>
          <w:b/>
        </w:rPr>
      </w:pPr>
    </w:p>
    <w:p w14:paraId="544F0A08" w14:textId="77777777" w:rsidR="00B301A7" w:rsidRPr="00B301A7" w:rsidRDefault="00B301A7" w:rsidP="00B301A7">
      <w:pPr>
        <w:jc w:val="center"/>
        <w:rPr>
          <w:b/>
        </w:rPr>
      </w:pPr>
      <w:r w:rsidRPr="00B301A7">
        <w:rPr>
          <w:b/>
        </w:rPr>
        <w:t xml:space="preserve">ТЕНДЕРНА ДОКУМЕНТАЦІЯ </w:t>
      </w:r>
    </w:p>
    <w:p w14:paraId="7740B543" w14:textId="24AE93E8" w:rsidR="00B301A7" w:rsidRPr="00B301A7" w:rsidRDefault="00B301A7" w:rsidP="00B301A7">
      <w:pPr>
        <w:tabs>
          <w:tab w:val="left" w:pos="3654"/>
        </w:tabs>
        <w:jc w:val="center"/>
        <w:rPr>
          <w:b/>
          <w:snapToGrid w:val="0"/>
          <w:kern w:val="28"/>
        </w:rPr>
      </w:pPr>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1FA515DD" w:rsidR="00B301A7" w:rsidRDefault="00B301A7" w:rsidP="00B301A7">
      <w:pPr>
        <w:tabs>
          <w:tab w:val="left" w:pos="3654"/>
        </w:tabs>
        <w:jc w:val="center"/>
        <w:rPr>
          <w:rFonts w:eastAsia="Calibri"/>
          <w:b/>
          <w:bCs/>
          <w:shd w:val="clear" w:color="auto" w:fill="FFFFFF"/>
          <w:lang w:eastAsia="en-US"/>
        </w:rPr>
      </w:pPr>
      <w:bookmarkStart w:id="0" w:name="_Hlk129767012"/>
      <w:r w:rsidRPr="00B301A7">
        <w:rPr>
          <w:rFonts w:eastAsia="Calibri"/>
          <w:b/>
          <w:shd w:val="clear" w:color="auto" w:fill="FFFFFF"/>
          <w:lang w:eastAsia="en-US"/>
        </w:rPr>
        <w:t>«</w:t>
      </w:r>
      <w:bookmarkEnd w:id="0"/>
      <w:r w:rsidRPr="00B301A7">
        <w:rPr>
          <w:rFonts w:eastAsia="Calibri"/>
          <w:b/>
          <w:bCs/>
          <w:shd w:val="clear" w:color="auto" w:fill="FFFFFF"/>
          <w:lang w:eastAsia="en-US"/>
        </w:rPr>
        <w:t xml:space="preserve">Поточний ремонт </w:t>
      </w:r>
      <w:r w:rsidR="0077506C">
        <w:rPr>
          <w:rFonts w:eastAsia="Calibri"/>
          <w:b/>
          <w:bCs/>
          <w:shd w:val="clear" w:color="auto" w:fill="FFFFFF"/>
          <w:lang w:eastAsia="en-US"/>
        </w:rPr>
        <w:t>автодороги по вул. Олекси Тихого, м. Дружківка</w:t>
      </w:r>
      <w:r>
        <w:rPr>
          <w:rFonts w:eastAsia="Calibri"/>
          <w:b/>
          <w:bCs/>
          <w:shd w:val="clear" w:color="auto" w:fill="FFFFFF"/>
          <w:lang w:eastAsia="en-US"/>
        </w:rPr>
        <w:t>»</w:t>
      </w:r>
    </w:p>
    <w:p w14:paraId="139D583B" w14:textId="60792E5A" w:rsidR="00B301A7" w:rsidRDefault="00B301A7" w:rsidP="00B301A7">
      <w:pPr>
        <w:tabs>
          <w:tab w:val="left" w:pos="3654"/>
        </w:tabs>
        <w:jc w:val="center"/>
        <w:rPr>
          <w:rFonts w:eastAsia="Calibri"/>
          <w:b/>
          <w:bCs/>
          <w:shd w:val="clear" w:color="auto" w:fill="FFFFFF"/>
          <w:lang w:eastAsia="en-US"/>
        </w:rPr>
      </w:pPr>
      <w:r w:rsidRPr="00B301A7">
        <w:rPr>
          <w:rFonts w:eastAsia="Calibri"/>
          <w:b/>
          <w:bCs/>
          <w:shd w:val="clear" w:color="auto" w:fill="FFFFFF"/>
          <w:lang w:eastAsia="en-US"/>
        </w:rPr>
        <w:t xml:space="preserve"> код ДК 021:2015 45233142-6 - ремонт доріг</w:t>
      </w:r>
    </w:p>
    <w:p w14:paraId="50C16CA0" w14:textId="37E2D1F4" w:rsidR="00B301A7" w:rsidRPr="00B301A7" w:rsidRDefault="00B301A7" w:rsidP="00B301A7">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710CE5" w14:textId="77777777" w:rsidR="00B301A7" w:rsidRPr="00B301A7" w:rsidRDefault="00B301A7" w:rsidP="00B301A7">
      <w:pPr>
        <w:jc w:val="center"/>
        <w:rPr>
          <w:b/>
          <w:color w:val="000000"/>
          <w:lang w:eastAsia="ru-RU"/>
        </w:rPr>
      </w:pPr>
      <w:r w:rsidRPr="00B301A7">
        <w:rPr>
          <w:b/>
          <w:color w:val="000000"/>
          <w:lang w:eastAsia="ru-RU"/>
        </w:rPr>
        <w:t xml:space="preserve"> </w:t>
      </w:r>
    </w:p>
    <w:p w14:paraId="37086DB5" w14:textId="77777777" w:rsidR="00B301A7" w:rsidRPr="00B301A7" w:rsidRDefault="00B301A7" w:rsidP="00B301A7">
      <w:pPr>
        <w:jc w:val="center"/>
        <w:rPr>
          <w:b/>
          <w:color w:val="000000"/>
          <w:lang w:eastAsia="ru-RU"/>
        </w:rPr>
      </w:pPr>
    </w:p>
    <w:p w14:paraId="59657B4A" w14:textId="77777777" w:rsidR="00B301A7" w:rsidRPr="00B301A7" w:rsidRDefault="00B301A7" w:rsidP="00B301A7">
      <w:pPr>
        <w:jc w:val="center"/>
        <w:rPr>
          <w:b/>
          <w:color w:val="000000"/>
          <w:lang w:eastAsia="ru-RU"/>
        </w:rPr>
      </w:pPr>
    </w:p>
    <w:p w14:paraId="2537AB1D" w14:textId="77777777" w:rsidR="00B301A7" w:rsidRPr="00B301A7" w:rsidRDefault="00B301A7" w:rsidP="00B301A7">
      <w:pPr>
        <w:jc w:val="center"/>
        <w:rPr>
          <w:b/>
          <w:color w:val="000000"/>
          <w:lang w:eastAsia="ru-RU"/>
        </w:rPr>
      </w:pPr>
    </w:p>
    <w:p w14:paraId="63AC3A38" w14:textId="77777777" w:rsidR="00B301A7" w:rsidRPr="00B301A7" w:rsidRDefault="00B301A7" w:rsidP="00B301A7">
      <w:pPr>
        <w:jc w:val="center"/>
        <w:rPr>
          <w:b/>
          <w:color w:val="000000"/>
          <w:lang w:eastAsia="ru-RU"/>
        </w:rPr>
      </w:pPr>
    </w:p>
    <w:p w14:paraId="61426982" w14:textId="77777777" w:rsidR="00B301A7" w:rsidRPr="00B301A7" w:rsidRDefault="00B301A7" w:rsidP="00B301A7">
      <w:pPr>
        <w:jc w:val="center"/>
        <w:rPr>
          <w:b/>
          <w:color w:val="000000"/>
          <w:lang w:eastAsia="ru-RU"/>
        </w:rPr>
      </w:pPr>
    </w:p>
    <w:p w14:paraId="4BD68109" w14:textId="77777777" w:rsidR="00B301A7" w:rsidRPr="00B301A7" w:rsidRDefault="00B301A7" w:rsidP="00B301A7">
      <w:pPr>
        <w:suppressAutoHyphens/>
        <w:autoSpaceDE w:val="0"/>
        <w:jc w:val="center"/>
        <w:rPr>
          <w:rFonts w:eastAsia="Arial Unicode MS"/>
          <w:lang w:eastAsia="ar-SA"/>
        </w:rPr>
      </w:pPr>
    </w:p>
    <w:p w14:paraId="7F2103D1" w14:textId="77777777" w:rsidR="00B301A7" w:rsidRPr="00B301A7" w:rsidRDefault="00B301A7" w:rsidP="00B301A7">
      <w:pPr>
        <w:suppressAutoHyphens/>
        <w:autoSpaceDE w:val="0"/>
        <w:jc w:val="center"/>
        <w:rPr>
          <w:rFonts w:eastAsia="Arial Unicode MS"/>
          <w:lang w:eastAsia="ar-SA"/>
        </w:rPr>
      </w:pPr>
    </w:p>
    <w:p w14:paraId="309C690E" w14:textId="77777777" w:rsidR="00B301A7" w:rsidRPr="00B301A7" w:rsidRDefault="00B301A7" w:rsidP="00B301A7">
      <w:pPr>
        <w:suppressAutoHyphens/>
        <w:autoSpaceDE w:val="0"/>
        <w:jc w:val="center"/>
        <w:rPr>
          <w:rFonts w:eastAsia="Arial Unicode MS"/>
          <w:lang w:eastAsia="ar-SA"/>
        </w:rPr>
      </w:pPr>
    </w:p>
    <w:p w14:paraId="7B7708F0" w14:textId="77777777" w:rsidR="00B301A7" w:rsidRPr="00B301A7" w:rsidRDefault="00B301A7" w:rsidP="00B301A7">
      <w:pPr>
        <w:suppressAutoHyphens/>
        <w:autoSpaceDE w:val="0"/>
        <w:jc w:val="center"/>
        <w:rPr>
          <w:rFonts w:eastAsia="Arial Unicode MS"/>
          <w:lang w:eastAsia="ar-SA"/>
        </w:rPr>
      </w:pPr>
    </w:p>
    <w:p w14:paraId="209ECAA3" w14:textId="77777777" w:rsidR="00B301A7" w:rsidRPr="00B301A7" w:rsidRDefault="00B301A7" w:rsidP="00B301A7">
      <w:pPr>
        <w:suppressAutoHyphens/>
        <w:autoSpaceDE w:val="0"/>
        <w:jc w:val="center"/>
        <w:rPr>
          <w:rFonts w:eastAsia="Arial Unicode MS"/>
          <w:lang w:eastAsia="ar-SA"/>
        </w:rPr>
      </w:pPr>
    </w:p>
    <w:p w14:paraId="06D094FA" w14:textId="77777777" w:rsidR="00B301A7" w:rsidRPr="00B301A7" w:rsidRDefault="00B301A7" w:rsidP="00B301A7">
      <w:pPr>
        <w:suppressAutoHyphens/>
        <w:autoSpaceDE w:val="0"/>
        <w:jc w:val="center"/>
        <w:rPr>
          <w:rFonts w:eastAsia="Arial Unicode MS"/>
          <w:b/>
          <w:bCs/>
          <w:lang w:eastAsia="ar-SA"/>
        </w:rPr>
      </w:pPr>
    </w:p>
    <w:p w14:paraId="0AEFF26C" w14:textId="77777777" w:rsidR="00B301A7" w:rsidRPr="00B301A7" w:rsidRDefault="00B301A7" w:rsidP="00B301A7">
      <w:pPr>
        <w:suppressAutoHyphens/>
        <w:autoSpaceDE w:val="0"/>
        <w:jc w:val="center"/>
        <w:rPr>
          <w:rFonts w:eastAsia="Arial Unicode MS"/>
          <w:b/>
          <w:bCs/>
          <w:lang w:eastAsia="ar-SA"/>
        </w:rPr>
      </w:pPr>
    </w:p>
    <w:p w14:paraId="3233C42B" w14:textId="77777777" w:rsidR="00B301A7" w:rsidRPr="00B301A7" w:rsidRDefault="00B301A7" w:rsidP="00B301A7">
      <w:pPr>
        <w:suppressAutoHyphens/>
        <w:autoSpaceDE w:val="0"/>
        <w:jc w:val="center"/>
        <w:rPr>
          <w:rFonts w:eastAsia="Arial Unicode MS"/>
          <w:b/>
          <w:bCs/>
          <w:lang w:eastAsia="ar-SA"/>
        </w:rPr>
      </w:pPr>
    </w:p>
    <w:p w14:paraId="06F98289" w14:textId="77777777" w:rsidR="00B301A7" w:rsidRPr="00B301A7" w:rsidRDefault="00B301A7" w:rsidP="00B301A7">
      <w:pPr>
        <w:suppressAutoHyphens/>
        <w:autoSpaceDE w:val="0"/>
        <w:rPr>
          <w:rFonts w:eastAsia="Arial Unicode MS"/>
          <w:b/>
          <w:bCs/>
          <w:lang w:eastAsia="ar-SA"/>
        </w:rPr>
      </w:pPr>
    </w:p>
    <w:p w14:paraId="2D117E3D" w14:textId="77777777" w:rsidR="00B301A7" w:rsidRPr="00B301A7" w:rsidRDefault="00B301A7" w:rsidP="00B301A7">
      <w:pPr>
        <w:suppressAutoHyphens/>
        <w:autoSpaceDE w:val="0"/>
        <w:jc w:val="center"/>
        <w:rPr>
          <w:rFonts w:eastAsia="Arial Unicode MS"/>
          <w:b/>
          <w:bCs/>
          <w:lang w:eastAsia="ar-SA"/>
        </w:rPr>
      </w:pPr>
    </w:p>
    <w:p w14:paraId="1324B40B" w14:textId="77777777" w:rsidR="00B301A7" w:rsidRPr="00B301A7" w:rsidRDefault="00B301A7" w:rsidP="00B301A7">
      <w:pPr>
        <w:suppressAutoHyphens/>
        <w:autoSpaceDE w:val="0"/>
        <w:rPr>
          <w:rFonts w:eastAsia="Arial Unicode MS"/>
          <w:b/>
          <w:bCs/>
          <w:lang w:eastAsia="ar-SA"/>
        </w:rPr>
      </w:pPr>
    </w:p>
    <w:p w14:paraId="021BC139" w14:textId="77777777" w:rsidR="00B301A7" w:rsidRPr="00B301A7" w:rsidRDefault="00B301A7" w:rsidP="00B301A7">
      <w:pPr>
        <w:suppressAutoHyphens/>
        <w:autoSpaceDE w:val="0"/>
        <w:rPr>
          <w:rFonts w:eastAsia="Arial Unicode MS"/>
          <w:b/>
          <w:bCs/>
          <w:lang w:eastAsia="ar-SA"/>
        </w:rPr>
      </w:pPr>
    </w:p>
    <w:p w14:paraId="7DD05629" w14:textId="77777777" w:rsidR="00B301A7" w:rsidRPr="00B301A7" w:rsidRDefault="00B301A7" w:rsidP="00B301A7">
      <w:pPr>
        <w:suppressAutoHyphens/>
        <w:autoSpaceDE w:val="0"/>
        <w:rPr>
          <w:rFonts w:eastAsia="Arial Unicode MS"/>
          <w:b/>
          <w:bCs/>
          <w:lang w:eastAsia="ar-SA"/>
        </w:rPr>
      </w:pPr>
    </w:p>
    <w:p w14:paraId="3C86546A" w14:textId="77777777" w:rsidR="00B301A7" w:rsidRPr="00B301A7" w:rsidRDefault="00B301A7" w:rsidP="00B301A7">
      <w:pPr>
        <w:suppressAutoHyphens/>
        <w:autoSpaceDE w:val="0"/>
        <w:rPr>
          <w:rFonts w:eastAsia="Arial Unicode MS"/>
          <w:b/>
          <w:bCs/>
          <w:lang w:eastAsia="ar-SA"/>
        </w:rPr>
      </w:pPr>
    </w:p>
    <w:p w14:paraId="0861381C" w14:textId="77777777" w:rsidR="00B301A7" w:rsidRPr="00B301A7" w:rsidRDefault="00B301A7" w:rsidP="00B301A7">
      <w:pPr>
        <w:suppressAutoHyphens/>
        <w:autoSpaceDE w:val="0"/>
        <w:rPr>
          <w:rFonts w:eastAsia="Arial Unicode MS"/>
          <w:b/>
          <w:bCs/>
          <w:lang w:eastAsia="ar-SA"/>
        </w:rPr>
      </w:pPr>
    </w:p>
    <w:p w14:paraId="14B2363C" w14:textId="77777777" w:rsidR="00B301A7" w:rsidRPr="00B301A7" w:rsidRDefault="00B301A7" w:rsidP="00B301A7">
      <w:pPr>
        <w:suppressAutoHyphens/>
        <w:autoSpaceDE w:val="0"/>
        <w:rPr>
          <w:rFonts w:eastAsia="Arial Unicode MS"/>
          <w:b/>
          <w:bCs/>
          <w:lang w:eastAsia="ar-SA"/>
        </w:rPr>
      </w:pPr>
    </w:p>
    <w:p w14:paraId="13D747C8" w14:textId="48328AC2" w:rsidR="00B301A7" w:rsidRPr="00B301A7" w:rsidRDefault="00B301A7" w:rsidP="00B301A7">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B301A7">
      <w:pPr>
        <w:jc w:val="center"/>
        <w:outlineLvl w:val="0"/>
        <w:rPr>
          <w:rFonts w:eastAsia="Arial Unicode MS"/>
          <w:b/>
          <w:bCs/>
          <w:lang w:eastAsia="ar-SA"/>
        </w:rPr>
      </w:pPr>
    </w:p>
    <w:p w14:paraId="00000031" w14:textId="24549434" w:rsidR="009C2CDA" w:rsidRPr="005E665C" w:rsidRDefault="005F7072">
      <w:pPr>
        <w:shd w:val="clear" w:color="auto" w:fill="FFFFFF"/>
        <w:jc w:val="center"/>
        <w:rPr>
          <w:b/>
        </w:rPr>
      </w:pPr>
      <w:r w:rsidRPr="005E665C">
        <w:rPr>
          <w:b/>
        </w:rPr>
        <w:t>202</w:t>
      </w:r>
      <w:r w:rsidR="005532D4" w:rsidRPr="005E665C">
        <w:rPr>
          <w:b/>
        </w:rPr>
        <w:t>3</w:t>
      </w:r>
      <w:r w:rsidR="008048C0" w:rsidRPr="005E665C">
        <w:rPr>
          <w:b/>
        </w:rPr>
        <w:t xml:space="preserve"> рік</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5E665C" w:rsidRDefault="008048C0">
            <w:pPr>
              <w:widowControl w:val="0"/>
              <w:shd w:val="clear" w:color="auto" w:fill="FFFFFF"/>
            </w:pPr>
            <w:r w:rsidRPr="005E665C">
              <w:t>1</w:t>
            </w:r>
          </w:p>
        </w:tc>
        <w:tc>
          <w:tcPr>
            <w:tcW w:w="2797" w:type="dxa"/>
            <w:shd w:val="clear" w:color="auto" w:fill="FFFFFF"/>
          </w:tcPr>
          <w:p w14:paraId="00000037" w14:textId="77777777" w:rsidR="009C2CDA" w:rsidRPr="005E665C" w:rsidRDefault="008048C0">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77777777" w:rsidR="00746F52" w:rsidRPr="00746F52" w:rsidRDefault="00746F52" w:rsidP="00746F52">
            <w:pPr>
              <w:jc w:val="both"/>
            </w:pPr>
            <w:r>
              <w:t>Тендерну д</w:t>
            </w:r>
            <w:r>
              <w:rPr>
                <w:color w:val="000000"/>
              </w:rPr>
              <w:t xml:space="preserve">окументацію розроблено відповідно до вимог Закону України </w:t>
            </w:r>
            <w:r w:rsidRPr="00746F52">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000038" w14:textId="1C28CEC1" w:rsidR="009C2CDA" w:rsidRPr="005E665C" w:rsidRDefault="00746F52" w:rsidP="00746F52">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5E665C" w:rsidRDefault="008048C0">
            <w:pPr>
              <w:widowControl w:val="0"/>
              <w:shd w:val="clear" w:color="auto" w:fill="FFFFFF"/>
            </w:pPr>
            <w:r w:rsidRPr="005E665C">
              <w:t>2</w:t>
            </w:r>
          </w:p>
        </w:tc>
        <w:tc>
          <w:tcPr>
            <w:tcW w:w="2797" w:type="dxa"/>
            <w:shd w:val="clear" w:color="auto" w:fill="FFFFFF"/>
          </w:tcPr>
          <w:p w14:paraId="0000003A" w14:textId="77777777" w:rsidR="009C2CDA" w:rsidRPr="005E665C" w:rsidRDefault="008048C0">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pPr>
              <w:widowControl w:val="0"/>
              <w:shd w:val="clear" w:color="auto" w:fill="FFFFFF"/>
            </w:pPr>
            <w:r w:rsidRPr="005E665C">
              <w:t>2.1</w:t>
            </w:r>
          </w:p>
        </w:tc>
        <w:tc>
          <w:tcPr>
            <w:tcW w:w="2797" w:type="dxa"/>
            <w:shd w:val="clear" w:color="auto" w:fill="FFFFFF"/>
          </w:tcPr>
          <w:p w14:paraId="0000003D" w14:textId="77777777" w:rsidR="009C2CDA" w:rsidRPr="005E665C" w:rsidRDefault="008048C0">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2A5340">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2A5340">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2A5340">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2A5340">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2A5340">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B301A7">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B301A7">
            <w:pPr>
              <w:jc w:val="both"/>
              <w:textAlignment w:val="baseline"/>
              <w:rPr>
                <w:rFonts w:eastAsia="Calibri"/>
                <w:lang w:eastAsia="en-US"/>
              </w:rPr>
            </w:pPr>
            <w:r w:rsidRPr="00B301A7">
              <w:rPr>
                <w:rFonts w:eastAsia="Calibri"/>
                <w:lang w:eastAsia="en-US"/>
              </w:rPr>
              <w:t>т. +380997350130</w:t>
            </w:r>
          </w:p>
          <w:p w14:paraId="00000046" w14:textId="4729D2AC" w:rsidR="002A5340" w:rsidRPr="005E665C" w:rsidRDefault="00B301A7" w:rsidP="00B301A7">
            <w:pPr>
              <w:shd w:val="clear" w:color="auto" w:fill="FFFFFF"/>
              <w:rPr>
                <w:b/>
                <w:color w:val="000000" w:themeColor="text1"/>
              </w:rPr>
            </w:pPr>
            <w:r w:rsidRPr="00B301A7">
              <w:rPr>
                <w:rFonts w:eastAsia="Calibri"/>
                <w:lang w:val="en-US" w:eastAsia="en-US"/>
              </w:rPr>
              <w:t>26443858@mail.gov.ua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5E665C" w:rsidRDefault="002A5340" w:rsidP="002A5340">
            <w:pPr>
              <w:widowControl w:val="0"/>
              <w:shd w:val="clear" w:color="auto" w:fill="FFFFFF"/>
            </w:pPr>
            <w:r w:rsidRPr="005E665C">
              <w:t>3</w:t>
            </w:r>
          </w:p>
        </w:tc>
        <w:tc>
          <w:tcPr>
            <w:tcW w:w="2797" w:type="dxa"/>
            <w:shd w:val="clear" w:color="auto" w:fill="FFFFFF"/>
          </w:tcPr>
          <w:p w14:paraId="00000048" w14:textId="77777777" w:rsidR="002A5340" w:rsidRPr="005E665C" w:rsidRDefault="002A5340" w:rsidP="002A5340">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2A5340">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5E665C" w:rsidRDefault="002A5340" w:rsidP="002A5340">
            <w:pPr>
              <w:widowControl w:val="0"/>
              <w:shd w:val="clear" w:color="auto" w:fill="FFFFFF"/>
            </w:pPr>
            <w:r w:rsidRPr="005E665C">
              <w:t>4</w:t>
            </w:r>
          </w:p>
        </w:tc>
        <w:tc>
          <w:tcPr>
            <w:tcW w:w="2797" w:type="dxa"/>
            <w:shd w:val="clear" w:color="auto" w:fill="FFFFFF"/>
          </w:tcPr>
          <w:p w14:paraId="0000004B" w14:textId="77777777" w:rsidR="002A5340" w:rsidRPr="005E665C" w:rsidRDefault="002A5340" w:rsidP="002A5340">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2A5340">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2A5340">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2A5340">
            <w:pPr>
              <w:widowControl w:val="0"/>
              <w:shd w:val="clear" w:color="auto" w:fill="FFFFFF"/>
            </w:pPr>
            <w:r w:rsidRPr="005E665C">
              <w:t>назва предмета закупівлі</w:t>
            </w:r>
          </w:p>
        </w:tc>
        <w:tc>
          <w:tcPr>
            <w:tcW w:w="6659" w:type="dxa"/>
            <w:shd w:val="clear" w:color="auto" w:fill="FFFFFF"/>
          </w:tcPr>
          <w:p w14:paraId="00000051" w14:textId="2A28BE41" w:rsidR="002A5340" w:rsidRPr="00B301A7" w:rsidRDefault="0077506C" w:rsidP="00746F52">
            <w:pPr>
              <w:keepLines/>
              <w:autoSpaceDE w:val="0"/>
              <w:autoSpaceDN w:val="0"/>
              <w:jc w:val="both"/>
              <w:rPr>
                <w:color w:val="000000"/>
              </w:rPr>
            </w:pPr>
            <w:bookmarkStart w:id="1" w:name="_Hlk130279240"/>
            <w:r w:rsidRPr="0077506C">
              <w:rPr>
                <w:color w:val="000000"/>
              </w:rPr>
              <w:t xml:space="preserve">Поточний ремонт автодороги по вул. Олекси Тихого, м. Дружківка </w:t>
            </w:r>
            <w:r w:rsidR="00F249F3" w:rsidRPr="00B301A7">
              <w:rPr>
                <w:color w:val="000000"/>
              </w:rPr>
              <w:t>(</w:t>
            </w:r>
            <w:r w:rsidR="00076DE0" w:rsidRPr="00B301A7">
              <w:rPr>
                <w:color w:val="000000"/>
              </w:rPr>
              <w:t xml:space="preserve">код ДК 021:2015 </w:t>
            </w:r>
            <w:r w:rsidR="00F249F3" w:rsidRPr="00B301A7">
              <w:rPr>
                <w:shd w:val="clear" w:color="auto" w:fill="FFFFFF"/>
              </w:rPr>
              <w:t>45233142-6 - ремонт доріг)</w:t>
            </w:r>
            <w:bookmarkEnd w:id="1"/>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2A5340">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2A5340">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07896E62" w:rsidR="002A5340" w:rsidRPr="00B301A7" w:rsidRDefault="002A5340" w:rsidP="002A5340">
            <w:pPr>
              <w:shd w:val="clear" w:color="auto" w:fill="FFFFFF"/>
              <w:jc w:val="both"/>
              <w:rPr>
                <w:bCs/>
                <w:color w:val="FF0000"/>
              </w:rPr>
            </w:pPr>
            <w:r w:rsidRPr="00B301A7">
              <w:rPr>
                <w:bCs/>
              </w:rPr>
              <w:t>Закупівля на лоти не поділяється</w:t>
            </w:r>
          </w:p>
          <w:p w14:paraId="00000055" w14:textId="77777777" w:rsidR="002A5340" w:rsidRPr="005E665C" w:rsidRDefault="002A5340" w:rsidP="002A5340">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2A5340">
            <w:pPr>
              <w:widowControl w:val="0"/>
              <w:shd w:val="clear" w:color="auto" w:fill="FFFFFF"/>
            </w:pPr>
            <w:bookmarkStart w:id="2" w:name="_heading=h.30j0zll" w:colFirst="0" w:colLast="0"/>
            <w:bookmarkEnd w:id="2"/>
            <w:r w:rsidRPr="005E665C">
              <w:t>4.3</w:t>
            </w:r>
          </w:p>
        </w:tc>
        <w:tc>
          <w:tcPr>
            <w:tcW w:w="2797" w:type="dxa"/>
            <w:shd w:val="clear" w:color="auto" w:fill="FFFFFF"/>
          </w:tcPr>
          <w:p w14:paraId="00000057" w14:textId="77777777" w:rsidR="002A5340" w:rsidRPr="005E665C" w:rsidRDefault="002A5340" w:rsidP="002A5340">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6C7196DC" w:rsidR="002A5340" w:rsidRPr="00F60964" w:rsidRDefault="0077506C" w:rsidP="00076DE0">
            <w:pPr>
              <w:pBdr>
                <w:top w:val="nil"/>
                <w:left w:val="nil"/>
                <w:bottom w:val="nil"/>
                <w:right w:val="nil"/>
                <w:between w:val="nil"/>
              </w:pBdr>
              <w:shd w:val="clear" w:color="auto" w:fill="FFFFFF"/>
              <w:jc w:val="both"/>
              <w:rPr>
                <w:color w:val="000000"/>
              </w:rPr>
            </w:pPr>
            <w:r>
              <w:rPr>
                <w:rStyle w:val="64"/>
              </w:rPr>
              <w:t xml:space="preserve">Згідно </w:t>
            </w:r>
            <w:r w:rsidR="001F7C75" w:rsidRPr="00F60964">
              <w:t>додат</w:t>
            </w:r>
            <w:r>
              <w:t>ку</w:t>
            </w:r>
            <w:r w:rsidR="001F7C75" w:rsidRPr="00F60964">
              <w:t xml:space="preserve">  2</w:t>
            </w:r>
            <w:r w:rsidR="00B301A7" w:rsidRPr="00F60964">
              <w:rPr>
                <w:rStyle w:val="64"/>
              </w:rPr>
              <w:t xml:space="preserve">  </w:t>
            </w:r>
            <w:r w:rsidR="001F7C75" w:rsidRPr="00F60964">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2A5340">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2A5340">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24AFCC5B" w:rsidR="002A5340" w:rsidRPr="006E7D57" w:rsidRDefault="00F60964" w:rsidP="00076DE0">
            <w:pPr>
              <w:pBdr>
                <w:top w:val="nil"/>
                <w:left w:val="nil"/>
                <w:bottom w:val="nil"/>
                <w:right w:val="nil"/>
                <w:between w:val="nil"/>
              </w:pBdr>
              <w:shd w:val="clear" w:color="auto" w:fill="FFFFFF"/>
              <w:jc w:val="both"/>
              <w:rPr>
                <w:bCs/>
                <w:color w:val="000000"/>
                <w:lang w:val="ru-RU"/>
              </w:rPr>
            </w:pPr>
            <w:r w:rsidRPr="00F60964">
              <w:rPr>
                <w:bCs/>
                <w:color w:val="000000"/>
              </w:rPr>
              <w:t xml:space="preserve">До </w:t>
            </w:r>
            <w:r w:rsidR="00023B88" w:rsidRPr="00F60964">
              <w:rPr>
                <w:bCs/>
                <w:color w:val="000000"/>
              </w:rPr>
              <w:t xml:space="preserve"> </w:t>
            </w:r>
            <w:r w:rsidRPr="00F60964">
              <w:rPr>
                <w:bCs/>
                <w:color w:val="000000"/>
              </w:rPr>
              <w:t>20 травня</w:t>
            </w:r>
            <w:r w:rsidR="00023B88" w:rsidRPr="00F60964">
              <w:rPr>
                <w:bCs/>
                <w:color w:val="000000"/>
              </w:rPr>
              <w:t xml:space="preserve"> 2023 року</w:t>
            </w:r>
            <w:r w:rsidR="006E7D57" w:rsidRPr="006E7D57">
              <w:rPr>
                <w:lang w:eastAsia="ru-RU"/>
              </w:rPr>
              <w:t xml:space="preserve"> </w:t>
            </w:r>
            <w:r w:rsidR="006E7D57">
              <w:rPr>
                <w:lang w:val="ru-RU" w:eastAsia="ru-RU"/>
              </w:rPr>
              <w:t>(с</w:t>
            </w:r>
            <w:proofErr w:type="spellStart"/>
            <w:r w:rsidR="006E7D57" w:rsidRPr="006E7D57">
              <w:rPr>
                <w:lang w:eastAsia="ru-RU"/>
              </w:rPr>
              <w:t>троки</w:t>
            </w:r>
            <w:proofErr w:type="spellEnd"/>
            <w:r w:rsidR="006E7D57" w:rsidRPr="006E7D57">
              <w:rPr>
                <w:lang w:eastAsia="ru-RU"/>
              </w:rPr>
              <w:t xml:space="preserve">  виконання робіт можуть бути змінені з внесенням відповідних змін у договір </w:t>
            </w:r>
            <w:proofErr w:type="spellStart"/>
            <w:r w:rsidR="006E7D57" w:rsidRPr="006E7D57">
              <w:rPr>
                <w:lang w:eastAsia="ru-RU"/>
              </w:rPr>
              <w:t>підряду</w:t>
            </w:r>
            <w:proofErr w:type="spellEnd"/>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5E665C" w:rsidRDefault="002A5340" w:rsidP="002A5340">
            <w:pPr>
              <w:widowControl w:val="0"/>
              <w:shd w:val="clear" w:color="auto" w:fill="FFFFFF"/>
            </w:pPr>
            <w:r w:rsidRPr="005E665C">
              <w:t>5</w:t>
            </w:r>
          </w:p>
        </w:tc>
        <w:tc>
          <w:tcPr>
            <w:tcW w:w="2797" w:type="dxa"/>
            <w:shd w:val="clear" w:color="auto" w:fill="FFFFFF"/>
          </w:tcPr>
          <w:p w14:paraId="0000005E" w14:textId="77777777" w:rsidR="002A5340" w:rsidRPr="005E665C" w:rsidRDefault="002A5340" w:rsidP="002A5340">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2A5340">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5E665C" w:rsidRDefault="002A5340" w:rsidP="002A5340">
            <w:pPr>
              <w:widowControl w:val="0"/>
              <w:shd w:val="clear" w:color="auto" w:fill="FFFFFF"/>
            </w:pPr>
            <w:r w:rsidRPr="005E665C">
              <w:t>6</w:t>
            </w:r>
          </w:p>
        </w:tc>
        <w:tc>
          <w:tcPr>
            <w:tcW w:w="2797" w:type="dxa"/>
            <w:shd w:val="clear" w:color="auto" w:fill="FFFFFF"/>
          </w:tcPr>
          <w:p w14:paraId="00000061" w14:textId="77777777" w:rsidR="002A5340" w:rsidRPr="005E665C" w:rsidRDefault="002A5340" w:rsidP="002A5340">
            <w:pPr>
              <w:widowControl w:val="0"/>
              <w:shd w:val="clear" w:color="auto" w:fill="FFFFFF"/>
            </w:pPr>
            <w:r w:rsidRPr="005E665C">
              <w:rPr>
                <w:b/>
              </w:rPr>
              <w:t xml:space="preserve">Інформація про валюту, у якій повинна </w:t>
            </w:r>
            <w:r w:rsidRPr="005E665C">
              <w:rPr>
                <w:b/>
              </w:rPr>
              <w:lastRenderedPageBreak/>
              <w:t>бути зазначена ціна тендерної пропозиції</w:t>
            </w:r>
          </w:p>
        </w:tc>
        <w:tc>
          <w:tcPr>
            <w:tcW w:w="6659" w:type="dxa"/>
            <w:shd w:val="clear" w:color="auto" w:fill="FFFFFF"/>
          </w:tcPr>
          <w:p w14:paraId="14544430" w14:textId="77777777" w:rsidR="00F60964" w:rsidRPr="00F60964" w:rsidRDefault="00F60964" w:rsidP="00F60964">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2A5340">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5E665C" w:rsidRDefault="00F60964" w:rsidP="00F60964">
            <w:pPr>
              <w:widowControl w:val="0"/>
              <w:shd w:val="clear" w:color="auto" w:fill="FFFFFF"/>
            </w:pPr>
            <w:r w:rsidRPr="005E665C">
              <w:lastRenderedPageBreak/>
              <w:t>7</w:t>
            </w:r>
          </w:p>
        </w:tc>
        <w:tc>
          <w:tcPr>
            <w:tcW w:w="2797" w:type="dxa"/>
            <w:shd w:val="clear" w:color="auto" w:fill="FFFFFF"/>
          </w:tcPr>
          <w:p w14:paraId="00000064" w14:textId="77777777" w:rsidR="00F60964" w:rsidRPr="005E665C" w:rsidRDefault="00F60964" w:rsidP="00F60964">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BF4404">
            <w:pPr>
              <w:spacing w:after="150"/>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F60964">
            <w:pPr>
              <w:spacing w:before="150" w:after="150"/>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F60964">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2A5340">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5E665C" w:rsidRDefault="00913CDA" w:rsidP="00913CDA">
            <w:pPr>
              <w:widowControl w:val="0"/>
              <w:shd w:val="clear" w:color="auto" w:fill="FFFFFF"/>
            </w:pPr>
            <w:r w:rsidRPr="005E665C">
              <w:t>1</w:t>
            </w:r>
          </w:p>
        </w:tc>
        <w:tc>
          <w:tcPr>
            <w:tcW w:w="2797" w:type="dxa"/>
            <w:tcBorders>
              <w:bottom w:val="single" w:sz="4" w:space="0" w:color="000000"/>
            </w:tcBorders>
            <w:shd w:val="clear" w:color="auto" w:fill="FFFFFF"/>
          </w:tcPr>
          <w:p w14:paraId="0000006B" w14:textId="77777777" w:rsidR="00913CDA" w:rsidRPr="005E665C" w:rsidRDefault="00913CDA" w:rsidP="00913CDA">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913CDA">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913CDA">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913CDA">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5E665C" w:rsidRDefault="00913CDA" w:rsidP="00913CDA">
            <w:pPr>
              <w:widowControl w:val="0"/>
              <w:shd w:val="clear" w:color="auto" w:fill="FFFFFF"/>
            </w:pPr>
            <w:r w:rsidRPr="005E665C">
              <w:t>2</w:t>
            </w:r>
          </w:p>
        </w:tc>
        <w:tc>
          <w:tcPr>
            <w:tcW w:w="2797" w:type="dxa"/>
            <w:tcBorders>
              <w:top w:val="single" w:sz="4" w:space="0" w:color="000000"/>
            </w:tcBorders>
            <w:shd w:val="clear" w:color="auto" w:fill="FFFFFF"/>
          </w:tcPr>
          <w:p w14:paraId="00000070" w14:textId="77777777" w:rsidR="00913CDA" w:rsidRPr="005E665C" w:rsidRDefault="00913CDA" w:rsidP="00913CDA">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745F4249" w:rsidR="00913CDA" w:rsidRPr="005E665C" w:rsidRDefault="00913CDA" w:rsidP="00913CDA">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71" w14:textId="4DB3113F" w:rsidR="00913CDA" w:rsidRPr="005E665C" w:rsidRDefault="00913CDA" w:rsidP="00913CDA">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5E665C">
              <w:rPr>
                <w:color w:val="000000"/>
                <w:shd w:val="solid" w:color="FFFFFF" w:fill="FFFFFF"/>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665C">
              <w:rPr>
                <w:color w:val="000000"/>
                <w:shd w:val="solid" w:color="FFFFFF" w:fill="FFFFFF"/>
              </w:rPr>
              <w:t>машинозчитувальному</w:t>
            </w:r>
            <w:proofErr w:type="spellEnd"/>
            <w:r w:rsidRPr="005E665C">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913CDA">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5E665C" w:rsidRDefault="00913CDA" w:rsidP="00913CDA">
            <w:pPr>
              <w:widowControl w:val="0"/>
              <w:shd w:val="clear" w:color="auto" w:fill="FFFFFF"/>
              <w:jc w:val="center"/>
            </w:pPr>
            <w:r w:rsidRPr="005E665C">
              <w:t>1</w:t>
            </w:r>
          </w:p>
        </w:tc>
        <w:tc>
          <w:tcPr>
            <w:tcW w:w="2797" w:type="dxa"/>
            <w:shd w:val="clear" w:color="auto" w:fill="FFFFFF"/>
          </w:tcPr>
          <w:p w14:paraId="00000076" w14:textId="77777777" w:rsidR="00913CDA" w:rsidRPr="005E665C" w:rsidRDefault="00913CDA" w:rsidP="00913CDA">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17E62">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17E62">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1AE22C55" w:rsidR="00913CDA" w:rsidRPr="00D0160E" w:rsidRDefault="00913CDA" w:rsidP="00913CDA">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 xml:space="preserve">інформації та документів, що підтверджують відповідність учасника кваліфікаційним критеріям </w:t>
            </w:r>
            <w:bookmarkEnd w:id="3"/>
            <w:r w:rsidRPr="00D0160E">
              <w:t xml:space="preserve">- </w:t>
            </w:r>
            <w:r w:rsidRPr="00D0160E">
              <w:rPr>
                <w:b/>
                <w:bCs/>
              </w:rPr>
              <w:t>Додаток 1</w:t>
            </w:r>
            <w:r w:rsidRPr="00D0160E">
              <w:t xml:space="preserve">; </w:t>
            </w:r>
          </w:p>
          <w:p w14:paraId="46B20FAB" w14:textId="036FC85B" w:rsidR="00913CDA" w:rsidRPr="00D0160E" w:rsidRDefault="00913CDA" w:rsidP="00913CDA">
            <w:pPr>
              <w:widowControl w:val="0"/>
              <w:ind w:hanging="21"/>
              <w:contextualSpacing/>
              <w:jc w:val="both"/>
            </w:pPr>
            <w:r w:rsidRPr="00D0160E">
              <w:t xml:space="preserve">- </w:t>
            </w:r>
            <w:r w:rsidR="00417E62" w:rsidRPr="00D0160E">
              <w:t xml:space="preserve">інформацією щодо відсутності підстав, установлених в пункті 44 Особливостей </w:t>
            </w:r>
            <w:r w:rsidRPr="00D0160E">
              <w:t xml:space="preserve">- </w:t>
            </w:r>
            <w:r w:rsidRPr="00D0160E">
              <w:rPr>
                <w:b/>
                <w:bCs/>
              </w:rPr>
              <w:t xml:space="preserve">Додаток </w:t>
            </w:r>
            <w:r w:rsidR="008864C4" w:rsidRPr="00D0160E">
              <w:rPr>
                <w:b/>
                <w:bCs/>
              </w:rPr>
              <w:t>1</w:t>
            </w:r>
            <w:r w:rsidRPr="00D0160E">
              <w:t>;</w:t>
            </w:r>
          </w:p>
          <w:p w14:paraId="380FF341" w14:textId="4D7B2419" w:rsidR="00913CDA" w:rsidRPr="00D0160E" w:rsidRDefault="00913CDA" w:rsidP="00913CDA">
            <w:pPr>
              <w:widowControl w:val="0"/>
              <w:ind w:hanging="21"/>
              <w:contextualSpacing/>
              <w:jc w:val="both"/>
            </w:pPr>
            <w:r w:rsidRPr="00D0160E">
              <w:t xml:space="preserve">- </w:t>
            </w:r>
            <w:r w:rsidRPr="00D0160E">
              <w:rPr>
                <w:shd w:val="clear" w:color="auto" w:fill="FFFFFF"/>
              </w:rPr>
              <w:t>інформацією про необхідні технічні,</w:t>
            </w:r>
            <w:r w:rsidRPr="00D0160E">
              <w:rPr>
                <w:color w:val="000000"/>
                <w:shd w:val="clear" w:color="auto" w:fill="FFFFFF"/>
              </w:rPr>
              <w:t xml:space="preserve"> якісні та кількісні характеристики предмета закупівлі, а також відповідну технічну специфікацію - </w:t>
            </w:r>
            <w:r w:rsidRPr="00D0160E">
              <w:rPr>
                <w:b/>
                <w:bCs/>
                <w:lang w:eastAsia="ru-RU"/>
              </w:rPr>
              <w:t xml:space="preserve">Додаток </w:t>
            </w:r>
            <w:r w:rsidR="008864C4" w:rsidRPr="00D0160E">
              <w:rPr>
                <w:b/>
                <w:bCs/>
                <w:lang w:eastAsia="ru-RU"/>
              </w:rPr>
              <w:t>2</w:t>
            </w:r>
            <w:r w:rsidRPr="00D0160E">
              <w:t>;</w:t>
            </w:r>
          </w:p>
          <w:p w14:paraId="56F3E02D" w14:textId="013BB4B9" w:rsidR="00913CDA" w:rsidRPr="00D0160E" w:rsidRDefault="00913CDA" w:rsidP="00913CDA">
            <w:pPr>
              <w:widowControl w:val="0"/>
              <w:ind w:hanging="21"/>
              <w:contextualSpacing/>
              <w:jc w:val="both"/>
            </w:pPr>
            <w:r w:rsidRPr="00D0160E">
              <w:t xml:space="preserve">- інші документи, які вимагаються замовником - </w:t>
            </w:r>
            <w:r w:rsidRPr="00D0160E">
              <w:rPr>
                <w:b/>
                <w:bCs/>
              </w:rPr>
              <w:t xml:space="preserve">Додаток </w:t>
            </w:r>
            <w:r w:rsidR="008864C4" w:rsidRPr="00D0160E">
              <w:rPr>
                <w:b/>
                <w:bCs/>
              </w:rPr>
              <w:t>1</w:t>
            </w:r>
            <w:r w:rsidRPr="00D0160E">
              <w:t>;</w:t>
            </w:r>
          </w:p>
          <w:p w14:paraId="64EBF6D6" w14:textId="4F0A6D9C" w:rsidR="00913CDA" w:rsidRPr="00D0160E" w:rsidRDefault="00913CDA" w:rsidP="00913CDA">
            <w:pPr>
              <w:widowControl w:val="0"/>
              <w:ind w:hanging="21"/>
              <w:contextualSpacing/>
              <w:jc w:val="both"/>
            </w:pPr>
            <w:r w:rsidRPr="00D0160E">
              <w:t>- проект договору, підписаний</w:t>
            </w:r>
            <w:r w:rsidR="00417E62" w:rsidRPr="00D0160E">
              <w:t xml:space="preserve"> учасником</w:t>
            </w:r>
            <w:r w:rsidRPr="00D0160E">
              <w:t xml:space="preserve"> та оформлений згідно із</w:t>
            </w:r>
            <w:r w:rsidRPr="00D0160E">
              <w:rPr>
                <w:b/>
                <w:bCs/>
              </w:rPr>
              <w:t xml:space="preserve"> Додатком  </w:t>
            </w:r>
            <w:r w:rsidR="008864C4" w:rsidRPr="00D0160E">
              <w:rPr>
                <w:b/>
                <w:bCs/>
              </w:rPr>
              <w:t>3</w:t>
            </w:r>
            <w:r w:rsidRPr="00D0160E">
              <w:t xml:space="preserve">  до тендерної документації.</w:t>
            </w:r>
          </w:p>
          <w:p w14:paraId="0784BCC9" w14:textId="5E1BE844" w:rsidR="00417E62" w:rsidRPr="00417E62" w:rsidRDefault="00417E62" w:rsidP="00417E62">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44</w:t>
              </w:r>
            </w:hyperlink>
            <w:r w:rsidRPr="00417E62">
              <w:t xml:space="preserve">  Особливостей, - згідно з </w:t>
            </w:r>
            <w:r w:rsidRPr="00417E62">
              <w:rPr>
                <w:b/>
                <w:iCs/>
              </w:rPr>
              <w:t xml:space="preserve">Додатком 1.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913CDA">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8E0FC9">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8E0FC9" w:rsidRPr="008E0FC9">
              <w:rPr>
                <w:bCs/>
                <w:color w:val="000000"/>
              </w:rPr>
              <w:t>скан</w:t>
            </w:r>
            <w:proofErr w:type="spellEnd"/>
            <w:r w:rsidR="008E0FC9" w:rsidRPr="008E0FC9">
              <w:rPr>
                <w:bCs/>
                <w:color w:val="000000"/>
              </w:rPr>
              <w:t xml:space="preserve">-копій через електронну </w:t>
            </w:r>
            <w:r w:rsidR="008E0FC9" w:rsidRPr="008E0FC9">
              <w:rPr>
                <w:bCs/>
                <w:color w:val="000000"/>
              </w:rPr>
              <w:lastRenderedPageBreak/>
              <w:t xml:space="preserve">систему закупівель. Тендерна пропозиція учасника має відповідати ряду вимог: </w:t>
            </w:r>
          </w:p>
          <w:p w14:paraId="6781E2D6" w14:textId="77777777" w:rsidR="008E0FC9" w:rsidRPr="008E0FC9" w:rsidRDefault="008E0FC9" w:rsidP="008E0FC9">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8E0FC9">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8E0FC9">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8E0FC9">
            <w:pPr>
              <w:jc w:val="both"/>
              <w:rPr>
                <w:bCs/>
                <w:color w:val="000000"/>
              </w:rPr>
            </w:pPr>
            <w:r w:rsidRPr="008E0FC9">
              <w:rPr>
                <w:bCs/>
                <w:color w:val="000000"/>
              </w:rPr>
              <w:t>Винятки:</w:t>
            </w:r>
          </w:p>
          <w:p w14:paraId="7A36FBA3" w14:textId="77777777" w:rsidR="008E0FC9" w:rsidRPr="008E0FC9" w:rsidRDefault="008E0FC9" w:rsidP="008E0FC9">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8E0FC9">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8E0FC9">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8E0FC9">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913CDA">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77777777" w:rsidR="00913CDA" w:rsidRPr="005E665C" w:rsidRDefault="00913CDA" w:rsidP="00464399">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proofErr w:type="spellStart"/>
            <w:r w:rsidRPr="005E665C">
              <w:t>піприємстві</w:t>
            </w:r>
            <w:proofErr w:type="spellEnd"/>
            <w:r w:rsidRPr="005E665C">
              <w:t xml:space="preserve"> тощо).</w:t>
            </w:r>
          </w:p>
          <w:p w14:paraId="5F834520" w14:textId="77777777" w:rsidR="00913CDA" w:rsidRPr="005E665C" w:rsidRDefault="00913CDA" w:rsidP="00464399">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r w:rsidRPr="005E665C">
              <w:lastRenderedPageBreak/>
              <w:t>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64399">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913CDA">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913CDA">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913CDA">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913CDA">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913CDA">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Default="00913CDA" w:rsidP="00913CDA">
            <w:pPr>
              <w:widowControl w:val="0"/>
              <w:shd w:val="clear" w:color="auto" w:fill="FFFFFF"/>
              <w:jc w:val="both"/>
              <w:rPr>
                <w:b/>
                <w:bCs/>
                <w:color w:val="000000"/>
                <w:shd w:val="solid" w:color="FFFFFF" w:fill="FFFFFF"/>
              </w:rPr>
            </w:pPr>
            <w:r w:rsidRPr="005E665C">
              <w:rPr>
                <w:b/>
                <w:bCs/>
                <w:color w:val="000000"/>
              </w:rPr>
              <w:lastRenderedPageBreak/>
              <w:t>1.</w:t>
            </w:r>
            <w:r w:rsidR="00417E62">
              <w:rPr>
                <w:b/>
                <w:bCs/>
                <w:color w:val="000000"/>
              </w:rPr>
              <w:t>9</w:t>
            </w:r>
            <w:r w:rsidRPr="005E665C">
              <w:rPr>
                <w:b/>
                <w:bCs/>
                <w:color w:val="000000"/>
              </w:rPr>
              <w:t xml:space="preserve">. Замовником не буде прийматися </w:t>
            </w:r>
            <w:r w:rsidRPr="005E665C">
              <w:rPr>
                <w:b/>
                <w:bCs/>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8E0FC9">
            <w:pPr>
              <w:widowControl w:val="0"/>
              <w:jc w:val="both"/>
              <w:rPr>
                <w:highlight w:val="cya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5E665C" w:rsidRDefault="00913CDA" w:rsidP="00913CDA">
            <w:pPr>
              <w:widowControl w:val="0"/>
              <w:shd w:val="clear" w:color="auto" w:fill="FFFFFF"/>
              <w:spacing w:after="240"/>
            </w:pPr>
            <w:r w:rsidRPr="005E665C">
              <w:lastRenderedPageBreak/>
              <w:t>2</w:t>
            </w:r>
          </w:p>
        </w:tc>
        <w:tc>
          <w:tcPr>
            <w:tcW w:w="2797" w:type="dxa"/>
            <w:shd w:val="clear" w:color="auto" w:fill="FFFFFF"/>
          </w:tcPr>
          <w:p w14:paraId="00000090" w14:textId="77777777" w:rsidR="00913CDA" w:rsidRPr="005E665C" w:rsidRDefault="00913CDA" w:rsidP="00913CDA">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913CDA">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5E665C" w:rsidRDefault="00913CDA" w:rsidP="00913CDA">
            <w:pPr>
              <w:widowControl w:val="0"/>
              <w:shd w:val="clear" w:color="auto" w:fill="FFFFFF"/>
            </w:pPr>
            <w:r w:rsidRPr="005E665C">
              <w:t>3</w:t>
            </w:r>
          </w:p>
        </w:tc>
        <w:tc>
          <w:tcPr>
            <w:tcW w:w="2797" w:type="dxa"/>
            <w:shd w:val="clear" w:color="auto" w:fill="FFFFFF"/>
          </w:tcPr>
          <w:p w14:paraId="000000A0" w14:textId="77777777" w:rsidR="00913CDA" w:rsidRPr="005E665C" w:rsidRDefault="00913CDA" w:rsidP="00913CDA">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913CDA">
            <w:pPr>
              <w:widowControl w:val="0"/>
              <w:shd w:val="clear" w:color="auto" w:fill="FFFFFF"/>
              <w:tabs>
                <w:tab w:val="left" w:pos="271"/>
                <w:tab w:val="left" w:pos="542"/>
              </w:tabs>
              <w:jc w:val="both"/>
            </w:pPr>
            <w:bookmarkStart w:id="4" w:name="bookmark=id.1fob9te" w:colFirst="0" w:colLast="0"/>
            <w:bookmarkEnd w:id="4"/>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5E665C" w:rsidRDefault="00913CDA" w:rsidP="00913CDA">
            <w:pPr>
              <w:widowControl w:val="0"/>
              <w:shd w:val="clear" w:color="auto" w:fill="FFFFFF"/>
            </w:pPr>
            <w:r w:rsidRPr="005E665C">
              <w:t>4</w:t>
            </w:r>
          </w:p>
        </w:tc>
        <w:tc>
          <w:tcPr>
            <w:tcW w:w="2797" w:type="dxa"/>
            <w:shd w:val="clear" w:color="auto" w:fill="FFFFFF"/>
          </w:tcPr>
          <w:p w14:paraId="000000B0" w14:textId="77777777" w:rsidR="00913CDA" w:rsidRPr="005E665C" w:rsidRDefault="00913CDA" w:rsidP="00913CDA">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5E665C" w:rsidRDefault="005E1F29" w:rsidP="005E1F29">
            <w:pPr>
              <w:jc w:val="both"/>
              <w:rPr>
                <w:b/>
                <w:bCs/>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5E665C">
              <w:rPr>
                <w:b/>
                <w:bCs/>
              </w:rPr>
              <w:t xml:space="preserve">Тендерні пропозиції залишаються дійсними </w:t>
            </w:r>
            <w:r w:rsidR="008E0FC9">
              <w:rPr>
                <w:b/>
                <w:bCs/>
              </w:rPr>
              <w:t>впродовж</w:t>
            </w:r>
            <w:r w:rsidRPr="005E665C">
              <w:rPr>
                <w:b/>
                <w:bCs/>
              </w:rPr>
              <w:t xml:space="preserve"> 90 днів із дати кінцевого строку подання тендерних пропозицій.</w:t>
            </w:r>
          </w:p>
          <w:p w14:paraId="5AE00DCD" w14:textId="77777777" w:rsidR="005E1F29" w:rsidRPr="005E665C" w:rsidRDefault="005E1F29" w:rsidP="005E1F29">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5E1F29">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5E1F29">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5E1F29">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5E1F29">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5E665C" w:rsidRDefault="00913CDA" w:rsidP="00913CDA">
            <w:pPr>
              <w:widowControl w:val="0"/>
              <w:shd w:val="clear" w:color="auto" w:fill="FFFFFF"/>
            </w:pPr>
            <w:r w:rsidRPr="005E665C">
              <w:t>5</w:t>
            </w:r>
          </w:p>
        </w:tc>
        <w:tc>
          <w:tcPr>
            <w:tcW w:w="2797" w:type="dxa"/>
            <w:shd w:val="clear" w:color="auto" w:fill="FFFFFF"/>
          </w:tcPr>
          <w:p w14:paraId="000000B7" w14:textId="6B272373" w:rsidR="00913CDA" w:rsidRPr="005E665C" w:rsidRDefault="008E0FC9" w:rsidP="005E1F29">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44  Особливостей</w:t>
            </w:r>
          </w:p>
        </w:tc>
        <w:tc>
          <w:tcPr>
            <w:tcW w:w="6659" w:type="dxa"/>
            <w:shd w:val="clear" w:color="auto" w:fill="FFFFFF"/>
          </w:tcPr>
          <w:p w14:paraId="4F12EDC8" w14:textId="766C463A" w:rsidR="008E0FC9" w:rsidRPr="008E0FC9" w:rsidRDefault="000B4D14" w:rsidP="008E0FC9">
            <w:pPr>
              <w:widowControl w:val="0"/>
              <w:ind w:right="120"/>
              <w:jc w:val="both"/>
            </w:pPr>
            <w:r>
              <w:t xml:space="preserve">5.1. </w:t>
            </w:r>
            <w:r w:rsidR="008E0FC9" w:rsidRPr="008E0FC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74C2E971" w:rsidR="008E0FC9" w:rsidRPr="008E0FC9" w:rsidRDefault="000B4D14" w:rsidP="008E0FC9">
            <w:pPr>
              <w:widowControl w:val="0"/>
              <w:ind w:right="120"/>
              <w:jc w:val="both"/>
            </w:pPr>
            <w:r>
              <w:t xml:space="preserve">5.2. </w:t>
            </w:r>
            <w:r w:rsidR="008E0FC9" w:rsidRPr="008E0FC9">
              <w:t xml:space="preserve">Спосіб  підтвердження відповідності учасника вимогам згідно із </w:t>
            </w:r>
            <w:r>
              <w:t xml:space="preserve">п. 28 та п. 44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0D613B6A" w:rsidR="008E0FC9" w:rsidRPr="008E0FC9" w:rsidRDefault="000B4D14" w:rsidP="008E0FC9">
            <w:pPr>
              <w:widowControl w:val="0"/>
              <w:ind w:right="120"/>
              <w:jc w:val="both"/>
              <w:rPr>
                <w:b/>
              </w:rPr>
            </w:pPr>
            <w:r>
              <w:rPr>
                <w:b/>
              </w:rPr>
              <w:t xml:space="preserve">5.3. </w:t>
            </w:r>
            <w:r w:rsidR="008E0FC9" w:rsidRPr="008E0FC9">
              <w:rPr>
                <w:b/>
              </w:rPr>
              <w:t>Підстави, визначені пунктом 44 Особливостей.</w:t>
            </w:r>
          </w:p>
          <w:p w14:paraId="01161D00" w14:textId="77777777" w:rsidR="008E0FC9" w:rsidRPr="008E0FC9" w:rsidRDefault="008E0FC9" w:rsidP="008E0FC9">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8E0FC9">
            <w:pPr>
              <w:widowControl w:val="0"/>
              <w:pBdr>
                <w:top w:val="nil"/>
                <w:left w:val="nil"/>
                <w:bottom w:val="nil"/>
                <w:right w:val="nil"/>
                <w:between w:val="nil"/>
              </w:pBdr>
              <w:jc w:val="both"/>
            </w:pPr>
            <w:r w:rsidRPr="008E0FC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8E0FC9">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8E0FC9">
            <w:pPr>
              <w:widowControl w:val="0"/>
              <w:pBdr>
                <w:top w:val="nil"/>
                <w:left w:val="nil"/>
                <w:bottom w:val="nil"/>
                <w:right w:val="nil"/>
                <w:between w:val="nil"/>
              </w:pBdr>
              <w:jc w:val="both"/>
            </w:pPr>
            <w:r w:rsidRPr="008E0FC9">
              <w:t xml:space="preserve">2) відомості про юридичну особу, яка є учасником процедури закупівлі, </w:t>
            </w:r>
            <w:proofErr w:type="spellStart"/>
            <w:r w:rsidRPr="008E0FC9">
              <w:t>внесено</w:t>
            </w:r>
            <w:proofErr w:type="spellEnd"/>
            <w:r w:rsidRPr="008E0FC9">
              <w:t xml:space="preserve">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8E0FC9">
            <w:pPr>
              <w:widowControl w:val="0"/>
              <w:pBdr>
                <w:top w:val="nil"/>
                <w:left w:val="nil"/>
                <w:bottom w:val="nil"/>
                <w:right w:val="nil"/>
                <w:between w:val="nil"/>
              </w:pBdr>
              <w:jc w:val="both"/>
            </w:pPr>
            <w:r w:rsidRPr="008E0FC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77777777" w:rsidR="008E0FC9" w:rsidRPr="008E0FC9" w:rsidRDefault="008E0FC9" w:rsidP="008E0FC9">
            <w:pPr>
              <w:widowControl w:val="0"/>
              <w:pBdr>
                <w:top w:val="nil"/>
                <w:left w:val="nil"/>
                <w:bottom w:val="nil"/>
                <w:right w:val="nil"/>
                <w:between w:val="nil"/>
              </w:pBdr>
              <w:jc w:val="both"/>
            </w:pPr>
            <w:r w:rsidRPr="008E0FC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E0FC9">
              <w:t>антиконкурентних</w:t>
            </w:r>
            <w:proofErr w:type="spellEnd"/>
            <w:r w:rsidRPr="008E0FC9">
              <w:t xml:space="preserve"> узгоджених дій, що стосуються спотворення результатів тендерів;</w:t>
            </w:r>
          </w:p>
          <w:p w14:paraId="6E841CC9" w14:textId="77777777" w:rsidR="008E0FC9" w:rsidRPr="008E0FC9" w:rsidRDefault="008E0FC9" w:rsidP="008E0FC9">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8E0FC9">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8E0FC9">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8E0FC9">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8E0FC9">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77777777" w:rsidR="008E0FC9" w:rsidRPr="008E0FC9" w:rsidRDefault="008E0FC9" w:rsidP="008E0FC9">
            <w:pPr>
              <w:widowControl w:val="0"/>
              <w:pBdr>
                <w:top w:val="nil"/>
                <w:left w:val="nil"/>
                <w:bottom w:val="nil"/>
                <w:right w:val="nil"/>
                <w:between w:val="nil"/>
              </w:pBdr>
              <w:jc w:val="both"/>
            </w:pPr>
            <w:r w:rsidRPr="008E0FC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0FC9">
              <w:br/>
              <w:t>20 млн. гривень (у тому числі за лотом);</w:t>
            </w:r>
          </w:p>
          <w:p w14:paraId="28943598" w14:textId="77777777" w:rsidR="008E0FC9" w:rsidRPr="008E0FC9" w:rsidRDefault="008E0FC9" w:rsidP="008E0FC9">
            <w:pPr>
              <w:widowControl w:val="0"/>
              <w:pBdr>
                <w:top w:val="nil"/>
                <w:left w:val="nil"/>
                <w:bottom w:val="nil"/>
                <w:right w:val="nil"/>
                <w:between w:val="nil"/>
              </w:pBdr>
              <w:jc w:val="both"/>
            </w:pPr>
            <w:r w:rsidRPr="008E0FC9">
              <w:t xml:space="preserve">11) учасник процедури закупівлі або кінцевий </w:t>
            </w:r>
            <w:proofErr w:type="spellStart"/>
            <w:r w:rsidRPr="008E0FC9">
              <w:t>бенефіціарний</w:t>
            </w:r>
            <w:proofErr w:type="spellEnd"/>
            <w:r w:rsidRPr="008E0FC9">
              <w:t xml:space="preserve"> власник, член або учасник (акціонер) юридичної особи — учасника процедури закупівлі є особою, до якої застосовано </w:t>
            </w:r>
            <w:r w:rsidRPr="008E0FC9">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58D8C9B4" w14:textId="77777777" w:rsidR="008E0FC9" w:rsidRPr="008E0FC9" w:rsidRDefault="008E0FC9" w:rsidP="008E0FC9">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8E0FC9">
            <w:pPr>
              <w:widowControl w:val="0"/>
              <w:pBdr>
                <w:top w:val="nil"/>
                <w:left w:val="nil"/>
                <w:bottom w:val="nil"/>
                <w:right w:val="nil"/>
                <w:between w:val="nil"/>
              </w:pBdr>
              <w:jc w:val="both"/>
            </w:pPr>
            <w:r w:rsidRPr="008E0FC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017E1DFC" w:rsidR="002F2D0A" w:rsidRPr="00D71D1E" w:rsidRDefault="000B4D14" w:rsidP="008E0FC9">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5E665C" w:rsidRDefault="005E1F29" w:rsidP="00913CDA">
            <w:pPr>
              <w:widowControl w:val="0"/>
              <w:shd w:val="clear" w:color="auto" w:fill="FFFFFF"/>
            </w:pPr>
            <w:r w:rsidRPr="005E665C">
              <w:lastRenderedPageBreak/>
              <w:t>6</w:t>
            </w:r>
          </w:p>
        </w:tc>
        <w:tc>
          <w:tcPr>
            <w:tcW w:w="2797" w:type="dxa"/>
            <w:shd w:val="clear" w:color="auto" w:fill="FFFFFF"/>
          </w:tcPr>
          <w:p w14:paraId="2E1824AA" w14:textId="77777777" w:rsidR="005E1F29" w:rsidRPr="005E665C" w:rsidRDefault="005E1F29" w:rsidP="005E1F29">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5E1F29">
            <w:pPr>
              <w:widowControl w:val="0"/>
              <w:contextualSpacing/>
              <w:rPr>
                <w:b/>
              </w:rPr>
            </w:pPr>
            <w:r w:rsidRPr="005E665C">
              <w:rPr>
                <w:b/>
              </w:rPr>
              <w:t xml:space="preserve">інформація про інші документи, які вимагаються </w:t>
            </w:r>
            <w:r w:rsidRPr="005E665C">
              <w:rPr>
                <w:b/>
              </w:rPr>
              <w:lastRenderedPageBreak/>
              <w:t>учасником</w:t>
            </w:r>
          </w:p>
        </w:tc>
        <w:tc>
          <w:tcPr>
            <w:tcW w:w="6659" w:type="dxa"/>
            <w:shd w:val="clear" w:color="auto" w:fill="FFFFFF"/>
          </w:tcPr>
          <w:p w14:paraId="390FC4C3" w14:textId="4D147AAD" w:rsidR="005E665C" w:rsidRPr="005E665C" w:rsidRDefault="005E1F29" w:rsidP="005E665C">
            <w:pPr>
              <w:widowControl w:val="0"/>
              <w:contextualSpacing/>
              <w:jc w:val="both"/>
              <w:rPr>
                <w:rStyle w:val="64"/>
              </w:rPr>
            </w:pPr>
            <w:r w:rsidRPr="005E665C">
              <w:lastRenderedPageBreak/>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0B4D14">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w:t>
            </w:r>
            <w:r w:rsidR="000B4D14" w:rsidRPr="00CD2E6E">
              <w:lastRenderedPageBreak/>
              <w:t xml:space="preserve">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000B4D14" w:rsidRPr="00D0160E">
              <w:rPr>
                <w:bCs/>
              </w:rPr>
              <w:t>т.ч</w:t>
            </w:r>
            <w:proofErr w:type="spellEnd"/>
            <w:r w:rsidR="000B4D14" w:rsidRPr="00D0160E">
              <w:rPr>
                <w:bCs/>
              </w:rPr>
              <w:t xml:space="preserve">.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0B4D14">
            <w:pPr>
              <w:widowControl w:val="0"/>
              <w:contextualSpacing/>
              <w:jc w:val="both"/>
            </w:pPr>
            <w:r>
              <w:t xml:space="preserve">6.3. </w:t>
            </w:r>
            <w:r w:rsidRPr="00CD2E6E">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0B4D14">
            <w:pPr>
              <w:ind w:left="34" w:right="85"/>
              <w:jc w:val="both"/>
            </w:pPr>
            <w:r>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77777777" w:rsidR="00A06DE8" w:rsidRDefault="000B4D14" w:rsidP="00A06DE8">
            <w:pPr>
              <w:pStyle w:val="Standard"/>
              <w:jc w:val="both"/>
            </w:pPr>
            <w:proofErr w:type="spellStart"/>
            <w:r w:rsidRPr="00CD2E6E">
              <w:t>Ціна</w:t>
            </w:r>
            <w:proofErr w:type="spellEnd"/>
            <w:r w:rsidRPr="00CD2E6E">
              <w:t xml:space="preserve"> </w:t>
            </w:r>
            <w:proofErr w:type="spellStart"/>
            <w:r w:rsidRPr="00CD2E6E">
              <w:t>пропозиції</w:t>
            </w:r>
            <w:proofErr w:type="spellEnd"/>
            <w:r w:rsidRPr="00CD2E6E">
              <w:t xml:space="preserve"> </w:t>
            </w:r>
            <w:proofErr w:type="spellStart"/>
            <w:r w:rsidRPr="00CD2E6E">
              <w:t>повинна</w:t>
            </w:r>
            <w:proofErr w:type="spellEnd"/>
            <w:r w:rsidRPr="00CD2E6E">
              <w:t xml:space="preserve"> </w:t>
            </w:r>
            <w:proofErr w:type="spellStart"/>
            <w:r w:rsidRPr="00CD2E6E">
              <w:t>бути</w:t>
            </w:r>
            <w:proofErr w:type="spellEnd"/>
            <w:r w:rsidRPr="00CD2E6E">
              <w:t xml:space="preserve"> </w:t>
            </w:r>
            <w:proofErr w:type="spellStart"/>
            <w:r w:rsidRPr="00CD2E6E">
              <w:t>розрахована</w:t>
            </w:r>
            <w:proofErr w:type="spellEnd"/>
            <w:r w:rsidRPr="00CD2E6E">
              <w:t xml:space="preserve"> </w:t>
            </w:r>
            <w:proofErr w:type="spellStart"/>
            <w:r w:rsidRPr="00CD2E6E">
              <w:t>відповідно</w:t>
            </w:r>
            <w:proofErr w:type="spellEnd"/>
            <w:r w:rsidRPr="00CD2E6E">
              <w:t xml:space="preserve"> </w:t>
            </w:r>
            <w:proofErr w:type="spellStart"/>
            <w:r w:rsidRPr="00CD2E6E">
              <w:t>до</w:t>
            </w:r>
            <w:proofErr w:type="spellEnd"/>
            <w:r w:rsidRPr="00CD2E6E">
              <w:t xml:space="preserve"> </w:t>
            </w:r>
            <w:proofErr w:type="spellStart"/>
            <w:r>
              <w:t>наказу</w:t>
            </w:r>
            <w:proofErr w:type="spellEnd"/>
            <w:r>
              <w:t xml:space="preserve"> </w:t>
            </w:r>
            <w:proofErr w:type="spellStart"/>
            <w:r>
              <w:t>Мінрегіону</w:t>
            </w:r>
            <w:proofErr w:type="spellEnd"/>
            <w:r>
              <w:t xml:space="preserve"> №281 </w:t>
            </w:r>
            <w:proofErr w:type="spellStart"/>
            <w:r>
              <w:t>від</w:t>
            </w:r>
            <w:proofErr w:type="spellEnd"/>
            <w:r>
              <w:t xml:space="preserve"> 01.11.2021 </w:t>
            </w:r>
            <w:proofErr w:type="spellStart"/>
            <w:r>
              <w:t>року</w:t>
            </w:r>
            <w:proofErr w:type="spellEnd"/>
            <w:r>
              <w:t xml:space="preserve">, </w:t>
            </w:r>
            <w:proofErr w:type="spellStart"/>
            <w:r>
              <w:t>яким</w:t>
            </w:r>
            <w:proofErr w:type="spellEnd"/>
            <w:r>
              <w:t xml:space="preserve"> </w:t>
            </w:r>
            <w:proofErr w:type="spellStart"/>
            <w:r>
              <w:t>затверджено</w:t>
            </w:r>
            <w:proofErr w:type="spellEnd"/>
            <w:r>
              <w:t xml:space="preserve"> </w:t>
            </w:r>
            <w:proofErr w:type="spellStart"/>
            <w:r>
              <w:t>Кошторисні</w:t>
            </w:r>
            <w:proofErr w:type="spellEnd"/>
            <w:r>
              <w:t xml:space="preserve"> </w:t>
            </w:r>
            <w:proofErr w:type="spellStart"/>
            <w:r>
              <w:t>норми</w:t>
            </w:r>
            <w:proofErr w:type="spellEnd"/>
            <w:r>
              <w:t xml:space="preserve"> </w:t>
            </w:r>
            <w:proofErr w:type="spellStart"/>
            <w:r>
              <w:t>України</w:t>
            </w:r>
            <w:proofErr w:type="spellEnd"/>
            <w:r>
              <w:t xml:space="preserve"> у </w:t>
            </w:r>
            <w:proofErr w:type="spellStart"/>
            <w:r>
              <w:t>будівництві</w:t>
            </w:r>
            <w:proofErr w:type="spellEnd"/>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A06DE8">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203FCDCB" w:rsidR="00A06DE8" w:rsidRPr="00D0160E" w:rsidRDefault="00A06DE8" w:rsidP="00A06DE8">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FBDCD33" w14:textId="0549050A" w:rsidR="00A06DE8" w:rsidRPr="00D0160E" w:rsidRDefault="00A06DE8" w:rsidP="00A06DE8">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A06DE8">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0B4D14">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w:t>
            </w:r>
            <w:r w:rsidRPr="00CD2E6E">
              <w:lastRenderedPageBreak/>
              <w:t>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0B4D14">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0B4D14">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0B4D14">
            <w:pPr>
              <w:ind w:left="34" w:right="85"/>
              <w:jc w:val="both"/>
            </w:pPr>
            <w:r w:rsidRPr="00D0160E">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0B4D14">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0B4D14">
            <w:pPr>
              <w:ind w:left="34" w:right="85"/>
              <w:jc w:val="both"/>
            </w:pPr>
            <w:r w:rsidRPr="00CD2E6E">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0B4D14">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0B4D14">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0B4D14">
            <w:pPr>
              <w:ind w:left="34" w:right="85"/>
              <w:jc w:val="both"/>
            </w:pPr>
            <w:r w:rsidRPr="00105C94">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765D171C" w:rsidR="000B4D14" w:rsidRPr="00CD2E6E" w:rsidRDefault="000B4D14" w:rsidP="000B4D14">
            <w:pPr>
              <w:shd w:val="clear" w:color="auto" w:fill="FFFFFF"/>
              <w:jc w:val="both"/>
            </w:pPr>
            <w:r w:rsidRPr="00D0160E">
              <w:t>На виконання Законів України </w:t>
            </w:r>
            <w:r w:rsidRPr="00D0160E">
              <w:rPr>
                <w:b/>
                <w:bCs/>
                <w:bdr w:val="none" w:sz="0" w:space="0" w:color="auto" w:frame="1"/>
              </w:rPr>
              <w:t> </w:t>
            </w:r>
            <w:r w:rsidRPr="00D0160E">
              <w:rPr>
                <w:bdr w:val="none" w:sz="0" w:space="0" w:color="auto" w:frame="1"/>
              </w:rPr>
              <w:t>"Про</w:t>
            </w:r>
            <w:r w:rsidRPr="00CD2E6E">
              <w:rPr>
                <w:bdr w:val="none" w:sz="0" w:space="0" w:color="auto" w:frame="1"/>
              </w:rPr>
              <w:t xml:space="preserve"> дорожній рух", "Про автомобільні дороги" та </w:t>
            </w:r>
            <w:r w:rsidRPr="00CD2E6E">
              <w:t> 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0B4D14">
            <w:pPr>
              <w:shd w:val="clear" w:color="auto" w:fill="FFFFFF"/>
              <w:jc w:val="both"/>
              <w:textAlignment w:val="baseline"/>
            </w:pPr>
            <w:bookmarkStart w:id="5" w:name="n164"/>
            <w:bookmarkStart w:id="6" w:name="n165"/>
            <w:bookmarkEnd w:id="5"/>
            <w:bookmarkEnd w:id="6"/>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0B4D14">
            <w:pPr>
              <w:shd w:val="clear" w:color="auto" w:fill="FFFFFF"/>
              <w:jc w:val="both"/>
              <w:textAlignment w:val="baseline"/>
            </w:pPr>
            <w:bookmarkStart w:id="7" w:name="n166"/>
            <w:bookmarkEnd w:id="7"/>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0B4D14">
            <w:pPr>
              <w:shd w:val="clear" w:color="auto" w:fill="FFFFFF"/>
              <w:jc w:val="both"/>
              <w:textAlignment w:val="baseline"/>
            </w:pPr>
            <w:bookmarkStart w:id="8" w:name="n167"/>
            <w:bookmarkEnd w:id="8"/>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0B4D14">
            <w:pPr>
              <w:shd w:val="clear" w:color="auto" w:fill="FFFFFF"/>
              <w:jc w:val="both"/>
              <w:textAlignment w:val="baseline"/>
            </w:pPr>
            <w:r w:rsidRPr="00CD2E6E">
              <w:t xml:space="preserve">- по закінченні робіт на дорозі, вулиці, залізничному переїзді негайно привести їх у стан, що забезпечує безперешкодний і </w:t>
            </w:r>
            <w:r w:rsidRPr="00CD2E6E">
              <w:lastRenderedPageBreak/>
              <w:t>безпечний рух транспортних засобів і пішоходів, та впорядкувати зони відчуження;</w:t>
            </w:r>
          </w:p>
          <w:p w14:paraId="19D79BD4" w14:textId="77777777" w:rsidR="000B4D14" w:rsidRPr="00CD2E6E" w:rsidRDefault="000B4D14" w:rsidP="000B4D14">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0B4D14">
            <w:pPr>
              <w:shd w:val="clear" w:color="auto" w:fill="FFFFFF"/>
              <w:jc w:val="both"/>
              <w:textAlignment w:val="baseline"/>
            </w:pPr>
            <w:r w:rsidRPr="00CD2E6E">
              <w:t>- обладнувати їх технічними засобами регулювання дорожнього руху, тощо.</w:t>
            </w:r>
          </w:p>
          <w:p w14:paraId="34C5B0CB" w14:textId="77777777" w:rsidR="000B4D14" w:rsidRPr="00CD2E6E" w:rsidRDefault="000B4D14" w:rsidP="000B4D14">
            <w:pPr>
              <w:shd w:val="clear" w:color="auto" w:fill="FFFFFF"/>
              <w:jc w:val="both"/>
              <w:textAlignment w:val="baseline"/>
            </w:pPr>
            <w:r w:rsidRPr="00CD2E6E">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1F1C3849" w14:textId="77777777" w:rsidR="000B4D14" w:rsidRPr="00CD2E6E" w:rsidRDefault="000B4D14" w:rsidP="000B4D14">
            <w:pPr>
              <w:shd w:val="clear" w:color="auto" w:fill="FFFFFF"/>
              <w:jc w:val="both"/>
              <w:textAlignment w:val="baseline"/>
            </w:pPr>
            <w:r w:rsidRPr="00CD2E6E">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0B4D14">
            <w:pPr>
              <w:shd w:val="clear" w:color="auto" w:fill="FFFFFF"/>
              <w:jc w:val="both"/>
              <w:textAlignment w:val="baseline"/>
            </w:pPr>
            <w:r w:rsidRPr="00CD2E6E">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0B4D14">
            <w:pPr>
              <w:tabs>
                <w:tab w:val="left" w:pos="8244"/>
                <w:tab w:val="left" w:pos="9160"/>
                <w:tab w:val="left" w:pos="10076"/>
                <w:tab w:val="left" w:pos="10992"/>
                <w:tab w:val="left" w:pos="11908"/>
                <w:tab w:val="left" w:pos="12824"/>
                <w:tab w:val="left" w:pos="13740"/>
                <w:tab w:val="left" w:pos="14656"/>
              </w:tabs>
              <w:jc w:val="both"/>
            </w:pPr>
            <w:bookmarkStart w:id="9" w:name="n1372"/>
            <w:bookmarkEnd w:id="9"/>
            <w:r w:rsidRPr="00CD2E6E">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5E665C" w:rsidRDefault="009A4B52" w:rsidP="005E1F29">
            <w:pPr>
              <w:widowControl w:val="0"/>
              <w:shd w:val="clear" w:color="auto" w:fill="FFFFFF"/>
            </w:pPr>
            <w:r>
              <w:lastRenderedPageBreak/>
              <w:t>7</w:t>
            </w:r>
          </w:p>
        </w:tc>
        <w:tc>
          <w:tcPr>
            <w:tcW w:w="2797" w:type="dxa"/>
            <w:shd w:val="clear" w:color="auto" w:fill="FFFFFF"/>
          </w:tcPr>
          <w:p w14:paraId="2639D4AF" w14:textId="77777777" w:rsidR="005E1F29" w:rsidRPr="005E665C" w:rsidRDefault="005E1F29" w:rsidP="005E1F29">
            <w:pPr>
              <w:rPr>
                <w:b/>
              </w:rPr>
            </w:pPr>
            <w:r w:rsidRPr="005E665C">
              <w:rPr>
                <w:b/>
              </w:rPr>
              <w:t>Інформація про субпідрядника/</w:t>
            </w:r>
          </w:p>
          <w:p w14:paraId="2D895DD2" w14:textId="64A19764" w:rsidR="005E1F29" w:rsidRPr="005E665C" w:rsidRDefault="005E1F29" w:rsidP="005E1F29">
            <w:pPr>
              <w:rPr>
                <w:b/>
              </w:rPr>
            </w:pPr>
            <w:r w:rsidRPr="005E665C">
              <w:rPr>
                <w:b/>
              </w:rPr>
              <w:t>співвиконавця (у випадку закупівлі робіт чи послуг)</w:t>
            </w:r>
          </w:p>
          <w:p w14:paraId="1DC8165C" w14:textId="77777777" w:rsidR="005E1F29" w:rsidRPr="005E665C" w:rsidRDefault="005E1F29" w:rsidP="005E1F29">
            <w:pPr>
              <w:widowControl w:val="0"/>
              <w:contextualSpacing/>
              <w:rPr>
                <w:b/>
              </w:rPr>
            </w:pPr>
          </w:p>
        </w:tc>
        <w:tc>
          <w:tcPr>
            <w:tcW w:w="6659" w:type="dxa"/>
            <w:shd w:val="clear" w:color="auto" w:fill="FFFFFF"/>
          </w:tcPr>
          <w:p w14:paraId="200E804B" w14:textId="09304E87" w:rsidR="005E1F29" w:rsidRPr="005E665C" w:rsidRDefault="00A06DE8" w:rsidP="009A4B52">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913CDA">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913CDA">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913CDA">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7864E6">
            <w:pPr>
              <w:jc w:val="both"/>
            </w:pPr>
            <w:r w:rsidRPr="00023B8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023B88">
              <w:lastRenderedPageBreak/>
              <w:t>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913CDA">
            <w:pPr>
              <w:widowControl w:val="0"/>
              <w:shd w:val="clear" w:color="auto" w:fill="FFFFFF"/>
              <w:ind w:hanging="23"/>
              <w:jc w:val="center"/>
            </w:pPr>
            <w:r w:rsidRPr="005E665C">
              <w:rPr>
                <w:b/>
              </w:rPr>
              <w:lastRenderedPageBreak/>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5E665C" w:rsidRDefault="005E1F29" w:rsidP="005E1F29">
            <w:pPr>
              <w:widowControl w:val="0"/>
              <w:shd w:val="clear" w:color="auto" w:fill="FFFFFF"/>
            </w:pPr>
            <w:r w:rsidRPr="005E665C">
              <w:t>1</w:t>
            </w:r>
          </w:p>
        </w:tc>
        <w:tc>
          <w:tcPr>
            <w:tcW w:w="2797" w:type="dxa"/>
            <w:shd w:val="clear" w:color="auto" w:fill="FFFFFF"/>
          </w:tcPr>
          <w:p w14:paraId="000000E1" w14:textId="77777777" w:rsidR="005E1F29" w:rsidRPr="005E665C" w:rsidRDefault="005E1F29" w:rsidP="005E1F29">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4A25789F" w:rsidR="005E1F29" w:rsidRDefault="005E1F29" w:rsidP="00464399">
            <w:pPr>
              <w:widowControl w:val="0"/>
              <w:numPr>
                <w:ilvl w:val="1"/>
                <w:numId w:val="4"/>
              </w:numPr>
              <w:ind w:left="34" w:firstLine="0"/>
              <w:contextualSpacing/>
              <w:jc w:val="both"/>
            </w:pPr>
            <w:r w:rsidRPr="005E665C">
              <w:rPr>
                <w:b/>
                <w:bCs/>
              </w:rPr>
              <w:t>Кінцевий строк подання тендерних пропозицій</w:t>
            </w:r>
            <w:r w:rsidRPr="005E665C">
              <w:t xml:space="preserve"> – </w:t>
            </w:r>
            <w:r w:rsidR="00660D6D">
              <w:rPr>
                <w:b/>
              </w:rPr>
              <w:t>18</w:t>
            </w:r>
            <w:r w:rsidR="00A06DE8" w:rsidRPr="00D0160E">
              <w:rPr>
                <w:b/>
              </w:rPr>
              <w:t xml:space="preserve"> березня 2023</w:t>
            </w:r>
            <w:r w:rsidR="00161407" w:rsidRPr="00D0160E">
              <w:rPr>
                <w:b/>
              </w:rPr>
              <w:t xml:space="preserve"> року</w:t>
            </w:r>
            <w:r w:rsidRPr="00D0160E">
              <w:t>.</w:t>
            </w:r>
          </w:p>
          <w:p w14:paraId="0F704486" w14:textId="77777777" w:rsidR="005E1F29" w:rsidRPr="005E665C" w:rsidRDefault="005E1F29" w:rsidP="00464399">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5E1F29">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5E1F29">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5E665C" w:rsidRDefault="005E1F29" w:rsidP="005E1F29">
            <w:pPr>
              <w:widowControl w:val="0"/>
              <w:shd w:val="clear" w:color="auto" w:fill="FFFFFF"/>
            </w:pPr>
            <w:r w:rsidRPr="005E665C">
              <w:t>2</w:t>
            </w:r>
          </w:p>
        </w:tc>
        <w:tc>
          <w:tcPr>
            <w:tcW w:w="2797" w:type="dxa"/>
            <w:shd w:val="clear" w:color="auto" w:fill="FFFFFF"/>
          </w:tcPr>
          <w:p w14:paraId="000000EB" w14:textId="54F7FDAF" w:rsidR="005E1F29" w:rsidRPr="005E665C" w:rsidRDefault="00105C94" w:rsidP="005E1F29">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527FFC">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61530880" w:rsidR="005E1F29" w:rsidRPr="00527FFC" w:rsidRDefault="00105C94" w:rsidP="00527FFC">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44</w:t>
              </w:r>
            </w:hyperlink>
            <w:r w:rsidRPr="00105C94">
              <w:rPr>
                <w:sz w:val="24"/>
                <w:szCs w:val="24"/>
                <w:lang w:val="uk-UA"/>
              </w:rPr>
              <w:t xml:space="preserve"> Особливостей. Замовник, орган оскарження та </w:t>
            </w:r>
            <w:proofErr w:type="spellStart"/>
            <w:r w:rsidRPr="00105C94">
              <w:rPr>
                <w:sz w:val="24"/>
                <w:szCs w:val="24"/>
                <w:lang w:val="uk-UA"/>
              </w:rPr>
              <w:t>Держаудитслужба</w:t>
            </w:r>
            <w:proofErr w:type="spellEnd"/>
            <w:r w:rsidRPr="00105C94">
              <w:rPr>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5E1F29">
            <w:pPr>
              <w:widowControl w:val="0"/>
              <w:shd w:val="clear" w:color="auto" w:fill="FFFFFF"/>
              <w:jc w:val="center"/>
            </w:pPr>
            <w:r w:rsidRPr="005E665C">
              <w:rPr>
                <w:b/>
              </w:rPr>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5E665C" w:rsidRDefault="005E1F29" w:rsidP="005E1F29">
            <w:pPr>
              <w:widowControl w:val="0"/>
              <w:shd w:val="clear" w:color="auto" w:fill="FFFFFF"/>
            </w:pPr>
            <w:r w:rsidRPr="005E665C">
              <w:t>1</w:t>
            </w:r>
          </w:p>
        </w:tc>
        <w:tc>
          <w:tcPr>
            <w:tcW w:w="2797" w:type="dxa"/>
            <w:shd w:val="clear" w:color="auto" w:fill="FFFFFF"/>
          </w:tcPr>
          <w:p w14:paraId="000000F1" w14:textId="77777777" w:rsidR="005E1F29" w:rsidRPr="005E665C" w:rsidRDefault="005E1F29" w:rsidP="005E1F29">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6C09C5">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0" w:name="n301"/>
            <w:bookmarkEnd w:id="10"/>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6C09C5">
            <w:pPr>
              <w:widowControl w:val="0"/>
              <w:contextualSpacing/>
              <w:jc w:val="both"/>
            </w:pPr>
            <w:r w:rsidRPr="005E665C">
              <w:t xml:space="preserve">1.2. </w:t>
            </w:r>
            <w:r w:rsidRPr="006C09C5">
              <w:rPr>
                <w:b/>
                <w:bCs/>
              </w:rPr>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C615B6">
            <w:pPr>
              <w:widowControl w:val="0"/>
              <w:contextualSpacing/>
              <w:jc w:val="both"/>
            </w:pPr>
            <w:r w:rsidRPr="005E665C">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5E665C">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5E665C" w:rsidRDefault="005E1F29" w:rsidP="00C615B6">
            <w:pPr>
              <w:widowControl w:val="0"/>
              <w:contextualSpacing/>
              <w:jc w:val="both"/>
              <w:rPr>
                <w:b/>
                <w:bCs/>
                <w:color w:val="000000"/>
                <w:shd w:val="solid" w:color="FFFFFF" w:fill="FFFFFF"/>
              </w:rPr>
            </w:pPr>
            <w:r w:rsidRPr="005E665C">
              <w:t xml:space="preserve">1.4. </w:t>
            </w:r>
            <w:r w:rsidRPr="005E665C">
              <w:rPr>
                <w:b/>
                <w:bCs/>
                <w:color w:val="000000"/>
              </w:rPr>
              <w:t xml:space="preserve">Замовником не буде прийматися </w:t>
            </w:r>
            <w:r w:rsidRPr="005E665C">
              <w:rPr>
                <w:b/>
                <w:bCs/>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C615B6" w:rsidRDefault="005E1F29" w:rsidP="00C615B6">
            <w:pPr>
              <w:pStyle w:val="rvps2"/>
              <w:shd w:val="clear" w:color="auto" w:fill="FFFFFF"/>
              <w:spacing w:before="0" w:after="0"/>
              <w:jc w:val="both"/>
              <w:rPr>
                <w:color w:val="333333"/>
                <w:lang w:eastAsia="uk-UA"/>
              </w:rPr>
            </w:pPr>
            <w:r w:rsidRPr="005E665C">
              <w:rPr>
                <w:color w:val="000000"/>
                <w:shd w:val="solid" w:color="FFFFFF" w:fill="FFFFFF"/>
              </w:rPr>
              <w:t xml:space="preserve">1.5. </w:t>
            </w:r>
            <w:r w:rsidR="00C615B6" w:rsidRPr="00C615B6">
              <w:rPr>
                <w:color w:val="333333"/>
                <w:lang w:eastAsia="uk-UA"/>
              </w:rPr>
              <w:t xml:space="preserve">Замовник розглядає тендерну пропозицію, яка визначена найбільш економічно вигідною відповідно до </w:t>
            </w:r>
            <w:r w:rsidR="00C615B6">
              <w:rPr>
                <w:color w:val="333333"/>
                <w:lang w:eastAsia="uk-UA"/>
              </w:rPr>
              <w:t>О</w:t>
            </w:r>
            <w:r w:rsidR="00C615B6" w:rsidRPr="00C615B6">
              <w:rPr>
                <w:color w:val="333333"/>
                <w:lang w:eastAsia="uk-UA"/>
              </w:rPr>
              <w:t>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105C94">
            <w:pPr>
              <w:widowControl w:val="0"/>
              <w:jc w:val="both"/>
              <w:rPr>
                <w:color w:val="000000"/>
              </w:rPr>
            </w:pPr>
            <w:bookmarkStart w:id="11" w:name="n315"/>
            <w:bookmarkEnd w:id="11"/>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105C94">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105C94">
            <w:pPr>
              <w:widowControl w:val="0"/>
              <w:jc w:val="both"/>
              <w:rPr>
                <w:color w:val="000000"/>
              </w:rPr>
            </w:pPr>
            <w:r>
              <w:rPr>
                <w:color w:val="000000"/>
              </w:rPr>
              <w:t xml:space="preserve">1.8. </w:t>
            </w:r>
            <w:r w:rsidRPr="00105C94">
              <w:rPr>
                <w:b/>
                <w:bCs/>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color w:val="000000"/>
              </w:rPr>
              <w:t>.</w:t>
            </w:r>
            <w:bookmarkStart w:id="12" w:name="n316"/>
            <w:bookmarkEnd w:id="12"/>
          </w:p>
        </w:tc>
      </w:tr>
      <w:tr w:rsidR="005E1F29" w:rsidRPr="005E665C" w14:paraId="6B7DE109" w14:textId="77777777">
        <w:trPr>
          <w:trHeight w:val="520"/>
          <w:jc w:val="center"/>
        </w:trPr>
        <w:tc>
          <w:tcPr>
            <w:tcW w:w="576" w:type="dxa"/>
            <w:shd w:val="clear" w:color="auto" w:fill="FFFFFF"/>
          </w:tcPr>
          <w:p w14:paraId="00000104" w14:textId="77777777" w:rsidR="005E1F29" w:rsidRPr="005E665C" w:rsidRDefault="005E1F29" w:rsidP="005E1F29">
            <w:pPr>
              <w:widowControl w:val="0"/>
              <w:shd w:val="clear" w:color="auto" w:fill="FFFFFF"/>
            </w:pPr>
            <w:r w:rsidRPr="005E665C">
              <w:lastRenderedPageBreak/>
              <w:t>2</w:t>
            </w:r>
          </w:p>
        </w:tc>
        <w:tc>
          <w:tcPr>
            <w:tcW w:w="2797" w:type="dxa"/>
            <w:shd w:val="clear" w:color="auto" w:fill="FFFFFF"/>
          </w:tcPr>
          <w:p w14:paraId="00000105" w14:textId="77777777" w:rsidR="005E1F29" w:rsidRPr="005E665C" w:rsidRDefault="005E1F29" w:rsidP="005E1F29">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68351F">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1B697415" w:rsidR="0068351F" w:rsidRDefault="0068351F" w:rsidP="0068351F">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5423DA" w14:textId="73F05596" w:rsidR="0068351F" w:rsidRDefault="0068351F" w:rsidP="0068351F">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68351F">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68351F">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68351F">
            <w:pPr>
              <w:widowControl w:val="0"/>
              <w:numPr>
                <w:ilvl w:val="0"/>
                <w:numId w:val="16"/>
              </w:numPr>
              <w:jc w:val="both"/>
              <w:rPr>
                <w:color w:val="000000"/>
              </w:rPr>
            </w:pPr>
            <w:r>
              <w:rPr>
                <w:color w:val="000000"/>
              </w:rPr>
              <w:t xml:space="preserve">отримання учасником процедури закупівлі державної </w:t>
            </w:r>
            <w:r>
              <w:rPr>
                <w:color w:val="000000"/>
              </w:rPr>
              <w:lastRenderedPageBreak/>
              <w:t>допомоги згідно із законодавством.</w:t>
            </w:r>
          </w:p>
          <w:p w14:paraId="0000010B" w14:textId="603D1811" w:rsidR="005E1F29" w:rsidRPr="0068351F" w:rsidRDefault="0068351F" w:rsidP="0068351F">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5E665C" w:rsidRDefault="005E1F29" w:rsidP="005E1F29">
            <w:pPr>
              <w:widowControl w:val="0"/>
              <w:shd w:val="clear" w:color="auto" w:fill="FFFFFF"/>
            </w:pPr>
            <w:r w:rsidRPr="005E665C">
              <w:lastRenderedPageBreak/>
              <w:t>3</w:t>
            </w:r>
          </w:p>
        </w:tc>
        <w:tc>
          <w:tcPr>
            <w:tcW w:w="2797" w:type="dxa"/>
            <w:shd w:val="clear" w:color="auto" w:fill="FFFFFF"/>
          </w:tcPr>
          <w:p w14:paraId="593DB4CB" w14:textId="273E9C96" w:rsidR="005E1F29" w:rsidRPr="005E665C" w:rsidRDefault="005E1F29" w:rsidP="005E1F29">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5E1F29">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5E665C" w:rsidRDefault="005E1F29" w:rsidP="005E1F29">
            <w:pPr>
              <w:pStyle w:val="rvps2"/>
              <w:shd w:val="clear" w:color="auto" w:fill="FFFFFF"/>
              <w:spacing w:before="0" w:after="0"/>
              <w:jc w:val="both"/>
              <w:rPr>
                <w:b/>
                <w:color w:val="000000"/>
              </w:rPr>
            </w:pPr>
            <w:r w:rsidRPr="005E665C">
              <w:rPr>
                <w:bCs/>
                <w:color w:val="000000"/>
              </w:rPr>
              <w:t>3.2.</w:t>
            </w:r>
            <w:r w:rsidRPr="005E665C">
              <w:rPr>
                <w:b/>
                <w:color w:val="000000"/>
              </w:rPr>
              <w:t xml:space="preserve"> До формальних помилок відносяться:</w:t>
            </w:r>
          </w:p>
          <w:p w14:paraId="08BD005C" w14:textId="77777777" w:rsidR="005E1F29" w:rsidRPr="005E665C" w:rsidRDefault="005E1F29" w:rsidP="005E1F29">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5E1F29">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5E1F29">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5E1F29">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18F0A4E" w14:textId="77777777" w:rsidR="005E1F29" w:rsidRPr="005E665C" w:rsidRDefault="005E1F29" w:rsidP="005E1F29">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5E1F29">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5E1F29">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5E1F29">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5E1F29">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5E1F29">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5E1F29">
            <w:pPr>
              <w:pStyle w:val="rvps2"/>
              <w:shd w:val="clear" w:color="auto" w:fill="FFFFFF"/>
              <w:spacing w:before="0" w:after="0"/>
              <w:jc w:val="both"/>
              <w:rPr>
                <w:color w:val="000000"/>
              </w:rPr>
            </w:pPr>
            <w:r w:rsidRPr="005E665C">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5E1F29">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5E1F29">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5E1F29">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5E1F29">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5E1F29">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5E1F29">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5E1F29">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5E1F29">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5E1F29">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5E1F29">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5E1F29">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5E1F29">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5D2B7209" w14:textId="77777777" w:rsidR="005E1F29" w:rsidRPr="005E665C" w:rsidRDefault="005E1F29" w:rsidP="005E1F29">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2F4DA265" w14:textId="66C2B336" w:rsidR="005E1F29" w:rsidRPr="005E665C" w:rsidRDefault="005E1F29" w:rsidP="005E1F29">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5E665C" w:rsidRDefault="005E1F29" w:rsidP="005E1F29">
            <w:pPr>
              <w:widowControl w:val="0"/>
              <w:shd w:val="clear" w:color="auto" w:fill="FFFFFF"/>
            </w:pPr>
            <w:r w:rsidRPr="005E665C">
              <w:lastRenderedPageBreak/>
              <w:t>4</w:t>
            </w:r>
          </w:p>
        </w:tc>
        <w:tc>
          <w:tcPr>
            <w:tcW w:w="2797" w:type="dxa"/>
            <w:shd w:val="clear" w:color="auto" w:fill="FFFFFF"/>
          </w:tcPr>
          <w:p w14:paraId="0000010D" w14:textId="77777777" w:rsidR="005E1F29" w:rsidRPr="005E665C" w:rsidRDefault="005E1F29" w:rsidP="005E1F29">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527FFC">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527FFC">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8FBA233" w:rsidR="005E1F29" w:rsidRPr="00527FFC" w:rsidRDefault="00527FFC" w:rsidP="00527FFC">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5E665C" w:rsidRDefault="005E1F29" w:rsidP="005E1F29">
            <w:pPr>
              <w:widowControl w:val="0"/>
              <w:shd w:val="clear" w:color="auto" w:fill="FFFFFF"/>
            </w:pPr>
            <w:r w:rsidRPr="005E665C">
              <w:t>5</w:t>
            </w:r>
          </w:p>
        </w:tc>
        <w:tc>
          <w:tcPr>
            <w:tcW w:w="2797" w:type="dxa"/>
            <w:shd w:val="clear" w:color="auto" w:fill="FFFFFF"/>
          </w:tcPr>
          <w:p w14:paraId="00000111" w14:textId="77777777" w:rsidR="005E1F29" w:rsidRPr="005E665C" w:rsidRDefault="005E1F29" w:rsidP="005E1F29">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527FFC">
            <w:pPr>
              <w:widowControl w:val="0"/>
              <w:spacing w:line="228" w:lineRule="auto"/>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7FFC">
              <w:rPr>
                <w:b/>
                <w:iCs/>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527FFC">
            <w:pPr>
              <w:widowControl w:val="0"/>
              <w:shd w:val="clear" w:color="auto" w:fill="FFFFFF"/>
              <w:spacing w:line="228" w:lineRule="auto"/>
              <w:jc w:val="both"/>
              <w:rPr>
                <w:highlight w:val="white"/>
              </w:rPr>
            </w:pPr>
            <w:r>
              <w:rPr>
                <w:b/>
                <w:iCs/>
                <w:highlight w:val="white"/>
              </w:rPr>
              <w:t xml:space="preserve">5.2. </w:t>
            </w:r>
            <w:r w:rsidRPr="00527FFC">
              <w:rPr>
                <w:b/>
                <w:iCs/>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527FFC">
            <w:pPr>
              <w:widowControl w:val="0"/>
              <w:shd w:val="clear" w:color="auto" w:fill="FFFFFF"/>
              <w:spacing w:line="228" w:lineRule="auto"/>
              <w:jc w:val="both"/>
              <w:rPr>
                <w:highlight w:val="white"/>
              </w:rPr>
            </w:pPr>
            <w:r>
              <w:rPr>
                <w:b/>
                <w:iCs/>
                <w:highlight w:val="white"/>
              </w:rPr>
              <w:t xml:space="preserve">5.3. </w:t>
            </w:r>
            <w:r w:rsidRPr="00527FFC">
              <w:rPr>
                <w:b/>
                <w:iCs/>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527FFC">
            <w:pPr>
              <w:widowControl w:val="0"/>
              <w:spacing w:line="228" w:lineRule="auto"/>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527FFC">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lastRenderedPageBreak/>
              <w:t xml:space="preserve">закупівель уточнених або нових документів в електронній системі закупівель </w:t>
            </w:r>
            <w:r w:rsidRPr="00527FFC">
              <w:rPr>
                <w:b/>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527FFC">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0000011D" w14:textId="7E42078C" w:rsidR="007864E6" w:rsidRPr="00023B88" w:rsidRDefault="00527FFC" w:rsidP="00527FFC">
            <w:pPr>
              <w:pStyle w:val="3f"/>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5E665C" w:rsidRDefault="005E1F29" w:rsidP="005E1F29">
            <w:pPr>
              <w:widowControl w:val="0"/>
              <w:shd w:val="clear" w:color="auto" w:fill="FFFFFF"/>
            </w:pPr>
            <w:r w:rsidRPr="005E665C">
              <w:lastRenderedPageBreak/>
              <w:t>6</w:t>
            </w:r>
          </w:p>
        </w:tc>
        <w:tc>
          <w:tcPr>
            <w:tcW w:w="2797" w:type="dxa"/>
            <w:shd w:val="clear" w:color="auto" w:fill="FFFFFF"/>
          </w:tcPr>
          <w:p w14:paraId="00000124" w14:textId="77777777" w:rsidR="005E1F29" w:rsidRPr="005E665C" w:rsidRDefault="005E1F29" w:rsidP="005E1F29">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Default="00971F6C" w:rsidP="0068351F">
            <w:pPr>
              <w:widowControl w:val="0"/>
              <w:spacing w:line="228" w:lineRule="auto"/>
              <w:jc w:val="both"/>
            </w:pPr>
            <w:bookmarkStart w:id="13" w:name="bookmark=id.3znysh7" w:colFirst="0" w:colLast="0"/>
            <w:bookmarkEnd w:id="13"/>
            <w:r>
              <w:rPr>
                <w:b/>
                <w:iCs/>
              </w:rPr>
              <w:t xml:space="preserve">6.1. </w:t>
            </w:r>
            <w:r w:rsidR="0068351F" w:rsidRPr="0068351F">
              <w:rPr>
                <w:b/>
                <w:iCs/>
              </w:rPr>
              <w:t>Замовник відхиляє тендерну пропозицію</w:t>
            </w:r>
            <w:r w:rsidR="0068351F">
              <w:t xml:space="preserve"> із зазначенням аргументації в електронній системі закупівель у разі, коли:</w:t>
            </w:r>
          </w:p>
          <w:p w14:paraId="7509909E" w14:textId="77777777" w:rsidR="0068351F" w:rsidRPr="00971F6C" w:rsidRDefault="0068351F" w:rsidP="0068351F">
            <w:pPr>
              <w:widowControl w:val="0"/>
              <w:spacing w:line="228" w:lineRule="auto"/>
              <w:jc w:val="both"/>
              <w:rPr>
                <w:b/>
                <w:iCs/>
              </w:rPr>
            </w:pPr>
            <w:r w:rsidRPr="00971F6C">
              <w:rPr>
                <w:b/>
                <w:iCs/>
              </w:rPr>
              <w:t>1) учасник процедури закупівлі:</w:t>
            </w:r>
          </w:p>
          <w:p w14:paraId="0AFE0253" w14:textId="77777777" w:rsidR="0068351F" w:rsidRDefault="0068351F" w:rsidP="0068351F">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68351F">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68351F">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77777777" w:rsidR="0068351F" w:rsidRDefault="0068351F" w:rsidP="0068351F">
            <w:pPr>
              <w:widowControl w:val="0"/>
              <w:jc w:val="both"/>
            </w:pPr>
            <w:r>
              <w:t>— не надав обґрунтування аномально низької ціни тендерної пропозиції протягом строку, визначеного абзацом п’ятим пункту 38 Особливостей;</w:t>
            </w:r>
          </w:p>
          <w:p w14:paraId="6326F013" w14:textId="77777777" w:rsidR="0068351F" w:rsidRDefault="0068351F" w:rsidP="0068351F">
            <w:pPr>
              <w:widowControl w:val="0"/>
              <w:jc w:val="both"/>
            </w:pPr>
            <w:r>
              <w:t>— визначив конфіденційною інформацію, що не може бути визначена як конфіденційна відповідно до вимог абзацу другого пункту 36 Особливостей;</w:t>
            </w:r>
          </w:p>
          <w:p w14:paraId="67D4FA6B" w14:textId="77777777" w:rsidR="0068351F" w:rsidRPr="00971F6C" w:rsidRDefault="0068351F" w:rsidP="0068351F">
            <w:pPr>
              <w:widowControl w:val="0"/>
              <w:jc w:val="both"/>
            </w:pPr>
            <w:r>
              <w:t xml:space="preserve">— </w:t>
            </w:r>
            <w:r w:rsidRPr="00971F6C">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71F6C">
              <w:t>бенефіціарним</w:t>
            </w:r>
            <w:proofErr w:type="spellEnd"/>
            <w:r w:rsidRPr="00971F6C">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971F6C">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971F6C" w:rsidRDefault="0068351F" w:rsidP="0068351F">
            <w:pPr>
              <w:widowControl w:val="0"/>
              <w:pBdr>
                <w:top w:val="nil"/>
                <w:left w:val="nil"/>
                <w:bottom w:val="nil"/>
                <w:right w:val="nil"/>
                <w:between w:val="nil"/>
              </w:pBdr>
              <w:spacing w:line="228" w:lineRule="auto"/>
              <w:jc w:val="both"/>
              <w:rPr>
                <w:b/>
                <w:iCs/>
              </w:rPr>
            </w:pPr>
            <w:r w:rsidRPr="00971F6C">
              <w:rPr>
                <w:b/>
                <w:iCs/>
              </w:rPr>
              <w:t>2) тендерна пропозиція:</w:t>
            </w:r>
          </w:p>
          <w:p w14:paraId="080D8F82" w14:textId="77777777" w:rsidR="0068351F" w:rsidRDefault="0068351F" w:rsidP="0068351F">
            <w:pPr>
              <w:widowControl w:val="0"/>
              <w:pBdr>
                <w:top w:val="nil"/>
                <w:left w:val="nil"/>
                <w:bottom w:val="nil"/>
                <w:right w:val="nil"/>
                <w:between w:val="nil"/>
              </w:pBdr>
              <w:spacing w:line="228" w:lineRule="auto"/>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B471977" w14:textId="77777777" w:rsidR="0068351F" w:rsidRDefault="0068351F" w:rsidP="0068351F">
            <w:pPr>
              <w:widowControl w:val="0"/>
              <w:pBdr>
                <w:top w:val="nil"/>
                <w:left w:val="nil"/>
                <w:bottom w:val="nil"/>
                <w:right w:val="nil"/>
                <w:between w:val="nil"/>
              </w:pBdr>
              <w:spacing w:line="228" w:lineRule="auto"/>
              <w:jc w:val="both"/>
            </w:pPr>
            <w:r>
              <w:t>— є такою, строк дії якої закінчився;</w:t>
            </w:r>
          </w:p>
          <w:p w14:paraId="41A8964A" w14:textId="77777777" w:rsidR="0068351F" w:rsidRDefault="0068351F" w:rsidP="0068351F">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68351F">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971F6C" w:rsidRDefault="0068351F" w:rsidP="0068351F">
            <w:pPr>
              <w:widowControl w:val="0"/>
              <w:pBdr>
                <w:top w:val="nil"/>
                <w:left w:val="nil"/>
                <w:bottom w:val="nil"/>
                <w:right w:val="nil"/>
                <w:between w:val="nil"/>
              </w:pBdr>
              <w:spacing w:line="228" w:lineRule="auto"/>
              <w:jc w:val="both"/>
              <w:rPr>
                <w:b/>
                <w:iCs/>
              </w:rPr>
            </w:pPr>
            <w:r w:rsidRPr="00971F6C">
              <w:rPr>
                <w:b/>
                <w:iCs/>
              </w:rPr>
              <w:t>3) переможець процедури закупівлі:</w:t>
            </w:r>
          </w:p>
          <w:p w14:paraId="0B59B437" w14:textId="77777777" w:rsidR="0068351F" w:rsidRDefault="0068351F" w:rsidP="0068351F">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77777777" w:rsidR="0068351F" w:rsidRPr="00971F6C" w:rsidRDefault="0068351F" w:rsidP="0068351F">
            <w:pPr>
              <w:widowControl w:val="0"/>
              <w:pBdr>
                <w:top w:val="nil"/>
                <w:left w:val="nil"/>
                <w:bottom w:val="nil"/>
                <w:right w:val="nil"/>
                <w:between w:val="nil"/>
              </w:pBdr>
              <w:spacing w:line="228" w:lineRule="auto"/>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44 цих Особливостей;</w:t>
            </w:r>
          </w:p>
          <w:p w14:paraId="7D50B57B" w14:textId="77777777" w:rsidR="0068351F" w:rsidRDefault="0068351F" w:rsidP="0068351F">
            <w:pPr>
              <w:widowControl w:val="0"/>
              <w:pBdr>
                <w:top w:val="nil"/>
                <w:left w:val="nil"/>
                <w:bottom w:val="nil"/>
                <w:right w:val="nil"/>
                <w:between w:val="nil"/>
              </w:pBdr>
              <w:spacing w:line="228" w:lineRule="auto"/>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68351F">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14:paraId="266E17E2" w14:textId="77777777" w:rsidR="0068351F" w:rsidRDefault="0068351F" w:rsidP="0068351F">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8970A52" w14:textId="7768519C" w:rsidR="0068351F" w:rsidRPr="00971F6C" w:rsidRDefault="00971F6C" w:rsidP="0068351F">
            <w:pPr>
              <w:widowControl w:val="0"/>
              <w:pBdr>
                <w:top w:val="nil"/>
                <w:left w:val="nil"/>
                <w:bottom w:val="nil"/>
                <w:right w:val="nil"/>
                <w:between w:val="nil"/>
              </w:pBdr>
              <w:spacing w:line="228" w:lineRule="auto"/>
              <w:jc w:val="both"/>
              <w:rPr>
                <w:b/>
                <w:iCs/>
              </w:rPr>
            </w:pPr>
            <w:r>
              <w:rPr>
                <w:b/>
                <w:iCs/>
              </w:rPr>
              <w:t xml:space="preserve">6.2. </w:t>
            </w:r>
            <w:r w:rsidR="0068351F" w:rsidRPr="00971F6C">
              <w:rPr>
                <w:b/>
                <w:iCs/>
              </w:rPr>
              <w:t>Замовник може відхилити тендерну пропозицію</w:t>
            </w:r>
            <w:r w:rsidR="0068351F" w:rsidRPr="00971F6C">
              <w:rPr>
                <w:iCs/>
              </w:rPr>
              <w:t xml:space="preserve"> із зазначенням аргументації в електронній системі закупівель </w:t>
            </w:r>
            <w:r w:rsidR="0068351F" w:rsidRPr="00971F6C">
              <w:rPr>
                <w:b/>
                <w:iCs/>
              </w:rPr>
              <w:t>у разі, коли:</w:t>
            </w:r>
          </w:p>
          <w:p w14:paraId="0573E819" w14:textId="77777777" w:rsidR="0068351F" w:rsidRDefault="0068351F" w:rsidP="0068351F">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68351F">
            <w:pPr>
              <w:widowControl w:val="0"/>
              <w:pBdr>
                <w:top w:val="nil"/>
                <w:left w:val="nil"/>
                <w:bottom w:val="nil"/>
                <w:right w:val="nil"/>
                <w:between w:val="nil"/>
              </w:pBdr>
              <w:spacing w:line="228" w:lineRule="auto"/>
              <w:jc w:val="both"/>
            </w:pPr>
            <w:r>
              <w:t xml:space="preserve">2) учасник процедури закупівлі не виконав свої зобов’язання </w:t>
            </w:r>
            <w: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68351F">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6BF95C15" w:rsidR="005E1F29" w:rsidRPr="00C615B6" w:rsidRDefault="00971F6C" w:rsidP="0068351F">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971F6C">
              <w:t xml:space="preserve">інформацією </w:t>
            </w:r>
            <w:r w:rsidR="0068351F" w:rsidRPr="00971F6C">
              <w:rPr>
                <w:b/>
              </w:rPr>
              <w:t xml:space="preserve">не пізніш як через чотири дні </w:t>
            </w:r>
            <w:r w:rsidR="0068351F" w:rsidRPr="00971F6C">
              <w:t>з дати надходження тако</w:t>
            </w:r>
            <w:r w:rsidR="0068351F">
              <w:t>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5E665C" w:rsidRDefault="0068351F" w:rsidP="0068351F">
            <w:pPr>
              <w:widowControl w:val="0"/>
              <w:shd w:val="clear" w:color="auto" w:fill="FFFFFF"/>
            </w:pPr>
            <w:r>
              <w:lastRenderedPageBreak/>
              <w:t>7</w:t>
            </w:r>
          </w:p>
        </w:tc>
        <w:tc>
          <w:tcPr>
            <w:tcW w:w="2797" w:type="dxa"/>
            <w:shd w:val="clear" w:color="auto" w:fill="FFFFFF"/>
          </w:tcPr>
          <w:p w14:paraId="1548A6F6" w14:textId="2F20BF87" w:rsidR="0068351F" w:rsidRPr="005E665C" w:rsidRDefault="0068351F" w:rsidP="0068351F">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68351F">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68351F">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68351F">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46C65F96" w:rsidR="0068351F" w:rsidRDefault="0068351F" w:rsidP="0068351F">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w:t>
            </w:r>
            <w:r>
              <w:lastRenderedPageBreak/>
              <w:t>підпису; або надає копію/ї роз'яснення/</w:t>
            </w:r>
            <w:proofErr w:type="spellStart"/>
            <w:r>
              <w:t>нь</w:t>
            </w:r>
            <w:proofErr w:type="spellEnd"/>
            <w:r>
              <w:t xml:space="preserve"> державних органів щодо цього.</w:t>
            </w:r>
          </w:p>
          <w:p w14:paraId="095C62EC" w14:textId="09F6BB80" w:rsidR="0068351F" w:rsidRDefault="0068351F" w:rsidP="0068351F">
            <w:pPr>
              <w:widowControl w:val="0"/>
              <w:jc w:val="both"/>
              <w:rPr>
                <w:color w:val="000000"/>
              </w:rPr>
            </w:pPr>
            <w:r>
              <w:rPr>
                <w:color w:val="000000"/>
              </w:rPr>
              <w:t xml:space="preserve">7.5.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384BB0E8" w14:textId="61BE68E9" w:rsidR="0068351F" w:rsidRDefault="0068351F" w:rsidP="0068351F">
            <w:pPr>
              <w:widowControl w:val="0"/>
              <w:jc w:val="both"/>
              <w:rPr>
                <w:color w:val="000000"/>
              </w:rPr>
            </w:pPr>
            <w:r>
              <w:rPr>
                <w:color w:val="000000"/>
              </w:rPr>
              <w:t xml:space="preserve">7.6.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68351F">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68351F">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68351F">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77777777" w:rsidR="0068351F" w:rsidRDefault="0068351F" w:rsidP="0068351F">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7777777" w:rsidR="0068351F" w:rsidRDefault="0068351F" w:rsidP="0068351F">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77777777" w:rsidR="0068351F" w:rsidRDefault="0068351F" w:rsidP="0068351F">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68351F">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w:t>
            </w:r>
            <w:r w:rsidRPr="0068351F">
              <w:lastRenderedPageBreak/>
              <w:t xml:space="preserve">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68351F">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FE34C1">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FE34C1">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trPr>
          <w:trHeight w:val="520"/>
          <w:jc w:val="center"/>
        </w:trPr>
        <w:tc>
          <w:tcPr>
            <w:tcW w:w="10032" w:type="dxa"/>
            <w:gridSpan w:val="3"/>
            <w:shd w:val="clear" w:color="auto" w:fill="FFFFFF"/>
            <w:vAlign w:val="center"/>
          </w:tcPr>
          <w:p w14:paraId="0000013B" w14:textId="77777777" w:rsidR="0068351F" w:rsidRPr="005E665C" w:rsidRDefault="0068351F" w:rsidP="0068351F">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5E665C" w:rsidRDefault="0068351F" w:rsidP="0068351F">
            <w:pPr>
              <w:widowControl w:val="0"/>
              <w:shd w:val="clear" w:color="auto" w:fill="FFFFFF"/>
              <w:jc w:val="both"/>
            </w:pPr>
            <w:r w:rsidRPr="005E665C">
              <w:t>1</w:t>
            </w:r>
          </w:p>
        </w:tc>
        <w:tc>
          <w:tcPr>
            <w:tcW w:w="2797" w:type="dxa"/>
            <w:shd w:val="clear" w:color="auto" w:fill="FFFFFF"/>
          </w:tcPr>
          <w:p w14:paraId="0000013F" w14:textId="77777777" w:rsidR="0068351F" w:rsidRPr="005E665C" w:rsidRDefault="0068351F" w:rsidP="0068351F">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4904C0" w:rsidRDefault="004904C0" w:rsidP="004904C0">
            <w:pPr>
              <w:widowControl w:val="0"/>
              <w:jc w:val="both"/>
              <w:rPr>
                <w:b/>
                <w:iCs/>
              </w:rPr>
            </w:pPr>
            <w:bookmarkStart w:id="14" w:name="bookmark=id.2et92p0" w:colFirst="0" w:colLast="0"/>
            <w:bookmarkEnd w:id="14"/>
            <w:r w:rsidRPr="004904C0">
              <w:rPr>
                <w:b/>
                <w:iCs/>
              </w:rPr>
              <w:t>1.1. Замовник відміняє відкриті торги у разі:</w:t>
            </w:r>
          </w:p>
          <w:p w14:paraId="2483A776" w14:textId="77777777" w:rsidR="004904C0" w:rsidRDefault="004904C0" w:rsidP="004904C0">
            <w:pPr>
              <w:widowControl w:val="0"/>
              <w:jc w:val="both"/>
            </w:pPr>
            <w:r>
              <w:t>1) відсутності подальшої потреби в закупівлі товарів, робіт чи послуг;</w:t>
            </w:r>
          </w:p>
          <w:p w14:paraId="69BC1CED" w14:textId="77777777" w:rsidR="004904C0" w:rsidRDefault="004904C0" w:rsidP="004904C0">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904C0">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904C0">
            <w:pPr>
              <w:widowControl w:val="0"/>
              <w:jc w:val="both"/>
            </w:pPr>
            <w:r>
              <w:t>4) коли здійснення закупівлі стало неможливим внаслідок дії обставин непереборної сили.</w:t>
            </w:r>
          </w:p>
          <w:p w14:paraId="1ECF6892" w14:textId="77777777" w:rsidR="004904C0" w:rsidRDefault="004904C0" w:rsidP="004904C0">
            <w:pPr>
              <w:widowControl w:val="0"/>
              <w:jc w:val="both"/>
            </w:pPr>
            <w:r>
              <w:t xml:space="preserve">У разі відміни відкритих торгів замовник </w:t>
            </w:r>
            <w:r w:rsidRPr="004904C0">
              <w:rPr>
                <w:b/>
                <w:iCs/>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4904C0" w:rsidRDefault="004904C0" w:rsidP="004904C0">
            <w:pPr>
              <w:widowControl w:val="0"/>
              <w:jc w:val="both"/>
              <w:rPr>
                <w:b/>
                <w:iCs/>
              </w:rPr>
            </w:pPr>
            <w:r>
              <w:rPr>
                <w:b/>
                <w:iCs/>
              </w:rPr>
              <w:t xml:space="preserve">1.2. </w:t>
            </w:r>
            <w:r w:rsidRPr="004904C0">
              <w:rPr>
                <w:b/>
                <w:iCs/>
              </w:rPr>
              <w:t>Відкриті торги автоматично відміняються електронною системою закупівель у разі:</w:t>
            </w:r>
          </w:p>
          <w:p w14:paraId="057095C7" w14:textId="77777777" w:rsidR="004904C0" w:rsidRDefault="004904C0" w:rsidP="004904C0">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14:paraId="4B2EB00F" w14:textId="77777777" w:rsidR="004904C0" w:rsidRDefault="004904C0" w:rsidP="004904C0">
            <w:pPr>
              <w:widowControl w:val="0"/>
              <w:jc w:val="both"/>
            </w:pPr>
            <w:r>
              <w:lastRenderedPageBreak/>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904C0">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904C0">
            <w:pPr>
              <w:widowControl w:val="0"/>
              <w:jc w:val="both"/>
            </w:pPr>
            <w:r>
              <w:t>1.4. Відкриті торги можуть бути відмінені частково (за лотом).</w:t>
            </w:r>
          </w:p>
          <w:p w14:paraId="00000151" w14:textId="34A362C6" w:rsidR="0068351F" w:rsidRPr="00DD247B" w:rsidRDefault="004904C0" w:rsidP="004904C0">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5E665C" w:rsidRDefault="0068351F" w:rsidP="0068351F">
            <w:pPr>
              <w:widowControl w:val="0"/>
              <w:shd w:val="clear" w:color="auto" w:fill="FFFFFF"/>
              <w:jc w:val="both"/>
            </w:pPr>
            <w:r w:rsidRPr="005E665C">
              <w:lastRenderedPageBreak/>
              <w:t>2</w:t>
            </w:r>
          </w:p>
        </w:tc>
        <w:tc>
          <w:tcPr>
            <w:tcW w:w="2797" w:type="dxa"/>
            <w:shd w:val="clear" w:color="auto" w:fill="FFFFFF"/>
          </w:tcPr>
          <w:p w14:paraId="00000153" w14:textId="77777777" w:rsidR="0068351F" w:rsidRPr="005E665C" w:rsidRDefault="0068351F" w:rsidP="0068351F">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904C0">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4904C0">
              <w:rPr>
                <w:b/>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04C0">
              <w:rPr>
                <w:b/>
                <w:iCs/>
                <w:highlight w:val="white"/>
              </w:rPr>
              <w:t>може бути продовжений до 60 днів</w:t>
            </w:r>
            <w:r w:rsidRPr="004904C0">
              <w:rPr>
                <w:iCs/>
                <w:highlight w:val="white"/>
              </w:rPr>
              <w:t xml:space="preserve">. </w:t>
            </w:r>
          </w:p>
          <w:p w14:paraId="54EE5C3B" w14:textId="1ABC1046" w:rsidR="004904C0" w:rsidRDefault="004904C0" w:rsidP="004904C0">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904C0">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4904C0">
              <w:rPr>
                <w:b/>
                <w:iCs/>
                <w:highlight w:val="white"/>
              </w:rPr>
              <w:t>не може бути укладено раніше ніж через п’ять днів</w:t>
            </w:r>
            <w:r w:rsidRPr="004904C0">
              <w:rPr>
                <w:iCs/>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5E665C" w:rsidRDefault="0068351F" w:rsidP="0068351F">
            <w:pPr>
              <w:widowControl w:val="0"/>
              <w:shd w:val="clear" w:color="auto" w:fill="FFFFFF"/>
              <w:jc w:val="both"/>
            </w:pPr>
            <w:r w:rsidRPr="005E665C">
              <w:t>3</w:t>
            </w:r>
          </w:p>
        </w:tc>
        <w:tc>
          <w:tcPr>
            <w:tcW w:w="2797" w:type="dxa"/>
            <w:shd w:val="clear" w:color="auto" w:fill="FFFFFF"/>
          </w:tcPr>
          <w:p w14:paraId="00000157" w14:textId="7DDF469F" w:rsidR="0068351F" w:rsidRPr="005E665C" w:rsidRDefault="0068351F" w:rsidP="0068351F">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74CAA531" w:rsidR="0068351F" w:rsidRPr="00870696" w:rsidRDefault="0068351F" w:rsidP="0068351F">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68351F">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870696" w:rsidRDefault="0068351F" w:rsidP="0068351F">
            <w:pPr>
              <w:pStyle w:val="rvps2"/>
              <w:shd w:val="clear" w:color="auto" w:fill="FFFFFF"/>
              <w:spacing w:before="0" w:after="0"/>
              <w:jc w:val="both"/>
              <w:rPr>
                <w:color w:val="333333"/>
              </w:rPr>
            </w:pPr>
            <w:r w:rsidRPr="00870696">
              <w:t xml:space="preserve">3.2. </w:t>
            </w:r>
            <w:r w:rsidRPr="00870696">
              <w:rPr>
                <w:color w:val="333333"/>
              </w:rPr>
              <w:t>Договір про закупівлю за результатами проведеної закупівлі згідно з </w:t>
            </w:r>
            <w:hyperlink r:id="rId14" w:anchor="n34" w:history="1">
              <w:r w:rsidRPr="00870696">
                <w:rPr>
                  <w:rStyle w:val="affff9"/>
                  <w:color w:val="006600"/>
                </w:rPr>
                <w:t>пунктами 10</w:t>
              </w:r>
            </w:hyperlink>
            <w:r w:rsidRPr="00870696">
              <w:rPr>
                <w:color w:val="333333"/>
              </w:rPr>
              <w:t> і </w:t>
            </w:r>
            <w:hyperlink r:id="rId15" w:anchor="n38" w:history="1">
              <w:r w:rsidRPr="00870696">
                <w:rPr>
                  <w:rStyle w:val="affff9"/>
                  <w:color w:val="006600"/>
                </w:rPr>
                <w:t>13</w:t>
              </w:r>
            </w:hyperlink>
            <w:r w:rsidRPr="00870696">
              <w:rPr>
                <w:color w:val="333333"/>
              </w:rPr>
              <w:t> Особливостей укладається відповідно до </w:t>
            </w:r>
            <w:hyperlink r:id="rId16" w:tgtFrame="_blank" w:history="1">
              <w:r w:rsidRPr="00870696">
                <w:rPr>
                  <w:rStyle w:val="affff9"/>
                  <w:color w:val="000099"/>
                </w:rPr>
                <w:t>Цивільного</w:t>
              </w:r>
            </w:hyperlink>
            <w:r w:rsidRPr="00870696">
              <w:rPr>
                <w:color w:val="333333"/>
              </w:rPr>
              <w:t> і </w:t>
            </w:r>
            <w:hyperlink r:id="rId17" w:tgtFrame="_blank" w:history="1">
              <w:r w:rsidRPr="00870696">
                <w:rPr>
                  <w:rStyle w:val="affff9"/>
                  <w:color w:val="000099"/>
                </w:rPr>
                <w:t>Господарського кодексів України</w:t>
              </w:r>
            </w:hyperlink>
            <w:r w:rsidRPr="00870696">
              <w:rPr>
                <w:color w:val="333333"/>
              </w:rPr>
              <w:t> з урахуванням положень </w:t>
            </w:r>
            <w:hyperlink r:id="rId18" w:anchor="n1760" w:tgtFrame="_blank" w:history="1">
              <w:r w:rsidRPr="00870696">
                <w:rPr>
                  <w:rStyle w:val="affff9"/>
                  <w:color w:val="000099"/>
                </w:rPr>
                <w:t>статті 41</w:t>
              </w:r>
            </w:hyperlink>
            <w:r w:rsidRPr="00870696">
              <w:rPr>
                <w:color w:val="333333"/>
              </w:rPr>
              <w:t> Закону, крім частин </w:t>
            </w:r>
            <w:hyperlink r:id="rId19" w:anchor="n1766" w:tgtFrame="_blank" w:history="1">
              <w:r w:rsidRPr="00870696">
                <w:rPr>
                  <w:rStyle w:val="affff9"/>
                  <w:color w:val="000099"/>
                </w:rPr>
                <w:t>третьої - п’ятої</w:t>
              </w:r>
            </w:hyperlink>
            <w:r w:rsidRPr="00870696">
              <w:rPr>
                <w:color w:val="333333"/>
              </w:rPr>
              <w:t>, </w:t>
            </w:r>
            <w:hyperlink r:id="rId20" w:anchor="n1779" w:tgtFrame="_blank" w:history="1">
              <w:r w:rsidRPr="00870696">
                <w:rPr>
                  <w:rStyle w:val="affff9"/>
                  <w:color w:val="000099"/>
                </w:rPr>
                <w:t>сьомої</w:t>
              </w:r>
            </w:hyperlink>
            <w:r w:rsidRPr="00870696">
              <w:rPr>
                <w:color w:val="333333"/>
              </w:rPr>
              <w:t> та </w:t>
            </w:r>
            <w:hyperlink r:id="rId21" w:anchor="n1780" w:tgtFrame="_blank" w:history="1">
              <w:r w:rsidRPr="00870696">
                <w:rPr>
                  <w:rStyle w:val="affff9"/>
                  <w:color w:val="000099"/>
                </w:rPr>
                <w:t>восьмої</w:t>
              </w:r>
            </w:hyperlink>
            <w:r w:rsidRPr="00870696">
              <w:rPr>
                <w:color w:val="333333"/>
              </w:rPr>
              <w:t> статті 41 Закону, та цих особливостей.</w:t>
            </w:r>
          </w:p>
          <w:p w14:paraId="334F30D4" w14:textId="68E74DED" w:rsidR="0068351F" w:rsidRPr="00870696" w:rsidRDefault="0068351F" w:rsidP="0068351F">
            <w:pPr>
              <w:pStyle w:val="rvps2"/>
              <w:shd w:val="clear" w:color="auto" w:fill="FFFFFF"/>
              <w:spacing w:before="0" w:after="0"/>
              <w:jc w:val="both"/>
              <w:rPr>
                <w:color w:val="333333"/>
              </w:rPr>
            </w:pPr>
            <w:bookmarkStart w:id="15" w:name="n68"/>
            <w:bookmarkEnd w:id="15"/>
            <w:r w:rsidRPr="00870696">
              <w:rPr>
                <w:color w:val="333333"/>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870696" w:rsidRDefault="0068351F" w:rsidP="0068351F">
            <w:pPr>
              <w:pStyle w:val="rvps2"/>
              <w:shd w:val="clear" w:color="auto" w:fill="FFFFFF"/>
              <w:spacing w:before="0" w:after="0"/>
              <w:jc w:val="both"/>
              <w:rPr>
                <w:strike/>
                <w:color w:val="333333"/>
              </w:rPr>
            </w:pPr>
            <w:bookmarkStart w:id="16" w:name="n69"/>
            <w:bookmarkEnd w:id="16"/>
            <w:r w:rsidRPr="00870696">
              <w:rPr>
                <w:color w:val="333333"/>
              </w:rPr>
              <w:t>3.4. Умови договору про закупівлю не повинні відрізнятися від змісту тендерної пропозиції.</w:t>
            </w:r>
          </w:p>
          <w:p w14:paraId="6EC086ED" w14:textId="4C111C9E" w:rsidR="0068351F" w:rsidRPr="00870696" w:rsidRDefault="0068351F" w:rsidP="0068351F">
            <w:pPr>
              <w:widowControl w:val="0"/>
              <w:contextualSpacing/>
              <w:jc w:val="both"/>
            </w:pPr>
            <w:r w:rsidRPr="00870696">
              <w:rPr>
                <w:color w:val="333333"/>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2" w:anchor="n1265" w:tgtFrame="_blank" w:history="1">
              <w:r w:rsidRPr="00870696">
                <w:rPr>
                  <w:rStyle w:val="affff9"/>
                  <w:color w:val="000099"/>
                  <w:shd w:val="clear" w:color="auto" w:fill="FFFFFF"/>
                </w:rPr>
                <w:t>пунктами 3</w:t>
              </w:r>
            </w:hyperlink>
            <w:r w:rsidRPr="00870696">
              <w:rPr>
                <w:color w:val="333333"/>
                <w:shd w:val="clear" w:color="auto" w:fill="FFFFFF"/>
              </w:rPr>
              <w:t>, </w:t>
            </w:r>
            <w:hyperlink r:id="rId23" w:anchor="n1267" w:tgtFrame="_blank" w:history="1">
              <w:r w:rsidRPr="00870696">
                <w:rPr>
                  <w:rStyle w:val="affff9"/>
                  <w:color w:val="000099"/>
                  <w:shd w:val="clear" w:color="auto" w:fill="FFFFFF"/>
                </w:rPr>
                <w:t>5</w:t>
              </w:r>
            </w:hyperlink>
            <w:r w:rsidRPr="00870696">
              <w:rPr>
                <w:color w:val="333333"/>
                <w:shd w:val="clear" w:color="auto" w:fill="FFFFFF"/>
              </w:rPr>
              <w:t>, </w:t>
            </w:r>
            <w:hyperlink r:id="rId24" w:anchor="n1268" w:tgtFrame="_blank" w:history="1">
              <w:r w:rsidRPr="00870696">
                <w:rPr>
                  <w:rStyle w:val="affff9"/>
                  <w:color w:val="000099"/>
                  <w:shd w:val="clear" w:color="auto" w:fill="FFFFFF"/>
                </w:rPr>
                <w:t>6</w:t>
              </w:r>
            </w:hyperlink>
            <w:r w:rsidRPr="00870696">
              <w:rPr>
                <w:color w:val="333333"/>
                <w:shd w:val="clear" w:color="auto" w:fill="FFFFFF"/>
              </w:rPr>
              <w:t> і </w:t>
            </w:r>
            <w:hyperlink r:id="rId25" w:anchor="n1274" w:tgtFrame="_blank" w:history="1">
              <w:r w:rsidRPr="00870696">
                <w:rPr>
                  <w:rStyle w:val="affff9"/>
                  <w:color w:val="000099"/>
                  <w:shd w:val="clear" w:color="auto" w:fill="FFFFFF"/>
                </w:rPr>
                <w:t>12</w:t>
              </w:r>
            </w:hyperlink>
            <w:r w:rsidRPr="00870696">
              <w:rPr>
                <w:color w:val="333333"/>
                <w:shd w:val="clear" w:color="auto" w:fill="FFFFFF"/>
              </w:rPr>
              <w:t> частини першої та </w:t>
            </w:r>
            <w:hyperlink r:id="rId26" w:anchor="n1276" w:tgtFrame="_blank" w:history="1">
              <w:r w:rsidRPr="00870696">
                <w:rPr>
                  <w:rStyle w:val="affff9"/>
                  <w:color w:val="000099"/>
                  <w:shd w:val="clear" w:color="auto" w:fill="FFFFFF"/>
                </w:rPr>
                <w:t>частиною другою</w:t>
              </w:r>
            </w:hyperlink>
            <w:r w:rsidRPr="00870696">
              <w:rPr>
                <w:color w:val="333333"/>
                <w:shd w:val="clear" w:color="auto" w:fill="FFFFFF"/>
              </w:rPr>
              <w:t xml:space="preserve"> статті 17 </w:t>
            </w:r>
            <w:r w:rsidRPr="00870696">
              <w:rPr>
                <w:color w:val="333333"/>
                <w:shd w:val="clear" w:color="auto" w:fill="FFFFFF"/>
              </w:rPr>
              <w:lastRenderedPageBreak/>
              <w:t>Закону.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870696">
                <w:rPr>
                  <w:rStyle w:val="affff9"/>
                  <w:color w:val="000099"/>
                  <w:shd w:val="clear" w:color="auto" w:fill="FFFFFF"/>
                </w:rPr>
                <w:t>Законом України</w:t>
              </w:r>
            </w:hyperlink>
            <w:r w:rsidRPr="00870696">
              <w:rPr>
                <w:color w:val="333333"/>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9DAFE55" w14:textId="6AF226B2" w:rsidR="0068351F" w:rsidRPr="005E665C" w:rsidRDefault="0068351F" w:rsidP="0068351F">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68351F">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68351F">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68351F">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68351F">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68351F">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68351F">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68351F">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68351F">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68351F">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5E665C" w:rsidRDefault="0068351F" w:rsidP="0068351F">
            <w:pPr>
              <w:widowControl w:val="0"/>
              <w:shd w:val="clear" w:color="auto" w:fill="FFFFFF"/>
              <w:jc w:val="both"/>
            </w:pPr>
            <w:r w:rsidRPr="005E665C">
              <w:lastRenderedPageBreak/>
              <w:t>4</w:t>
            </w:r>
          </w:p>
        </w:tc>
        <w:tc>
          <w:tcPr>
            <w:tcW w:w="2797" w:type="dxa"/>
            <w:shd w:val="clear" w:color="auto" w:fill="FFFFFF"/>
          </w:tcPr>
          <w:p w14:paraId="0000015A" w14:textId="77777777" w:rsidR="0068351F" w:rsidRPr="005E665C" w:rsidRDefault="0068351F" w:rsidP="0068351F">
            <w:pPr>
              <w:widowControl w:val="0"/>
              <w:shd w:val="clear" w:color="auto" w:fill="FFFFFF"/>
              <w:rPr>
                <w:b/>
              </w:rPr>
            </w:pPr>
            <w:bookmarkStart w:id="17" w:name="_heading=h.tyjcwt" w:colFirst="0" w:colLast="0"/>
            <w:bookmarkEnd w:id="17"/>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FE34C1">
            <w:pPr>
              <w:widowControl w:val="0"/>
              <w:jc w:val="both"/>
              <w:rPr>
                <w:color w:val="000000" w:themeColor="text1"/>
              </w:rPr>
            </w:pPr>
            <w:bookmarkStart w:id="18" w:name="n73"/>
            <w:bookmarkEnd w:id="18"/>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FE34C1">
            <w:pPr>
              <w:widowControl w:val="0"/>
              <w:jc w:val="both"/>
              <w:rPr>
                <w:color w:val="000000" w:themeColor="text1"/>
              </w:rPr>
            </w:pPr>
            <w:r w:rsidRPr="00FE34C1">
              <w:rPr>
                <w:color w:val="000000" w:themeColor="text1"/>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FE34C1">
              <w:rPr>
                <w:color w:val="000000" w:themeColor="text1"/>
              </w:rPr>
              <w:lastRenderedPageBreak/>
              <w:t>змінюватися відповідно до норм Господарського та Цивільного кодексів.</w:t>
            </w:r>
          </w:p>
          <w:p w14:paraId="2CF029A8" w14:textId="540C89A8" w:rsidR="00FE34C1" w:rsidRPr="00FE34C1" w:rsidRDefault="00FE34C1" w:rsidP="00FE34C1">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FE34C1">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FE34C1">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5E665C" w:rsidRDefault="0068351F" w:rsidP="0068351F">
            <w:pPr>
              <w:widowControl w:val="0"/>
              <w:shd w:val="clear" w:color="auto" w:fill="FFFFFF"/>
              <w:jc w:val="both"/>
            </w:pPr>
            <w:r w:rsidRPr="005E665C">
              <w:lastRenderedPageBreak/>
              <w:t>5</w:t>
            </w:r>
          </w:p>
        </w:tc>
        <w:tc>
          <w:tcPr>
            <w:tcW w:w="2797" w:type="dxa"/>
            <w:shd w:val="clear" w:color="auto" w:fill="FFFFFF"/>
          </w:tcPr>
          <w:p w14:paraId="0000015D" w14:textId="77777777" w:rsidR="0068351F" w:rsidRPr="005E665C" w:rsidRDefault="0068351F" w:rsidP="0068351F">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68351F">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5E665C" w:rsidRDefault="0068351F" w:rsidP="0068351F">
            <w:pPr>
              <w:widowControl w:val="0"/>
              <w:shd w:val="clear" w:color="auto" w:fill="FFFFFF"/>
              <w:jc w:val="both"/>
            </w:pPr>
            <w:r w:rsidRPr="005E665C">
              <w:t>6</w:t>
            </w:r>
          </w:p>
        </w:tc>
        <w:tc>
          <w:tcPr>
            <w:tcW w:w="2797" w:type="dxa"/>
            <w:shd w:val="clear" w:color="auto" w:fill="FFFFFF"/>
          </w:tcPr>
          <w:p w14:paraId="00000160" w14:textId="77777777" w:rsidR="0068351F" w:rsidRPr="005E665C" w:rsidRDefault="0068351F" w:rsidP="0068351F">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68351F">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68351F">
            <w:pPr>
              <w:shd w:val="clear" w:color="auto" w:fill="FFFFFF"/>
              <w:jc w:val="both"/>
            </w:pPr>
          </w:p>
        </w:tc>
      </w:tr>
    </w:tbl>
    <w:p w14:paraId="43A24063" w14:textId="29A6D72C" w:rsidR="002F4860" w:rsidRPr="005E665C" w:rsidRDefault="002F4860" w:rsidP="005E1F29">
      <w:pPr>
        <w:shd w:val="clear" w:color="auto" w:fill="FFFFFF"/>
        <w:rPr>
          <w:b/>
        </w:rPr>
      </w:pPr>
    </w:p>
    <w:sectPr w:rsidR="002F4860" w:rsidRPr="005E665C" w:rsidSect="0043712E">
      <w:footerReference w:type="default" r:id="rId28"/>
      <w:pgSz w:w="11909" w:h="16834"/>
      <w:pgMar w:top="709" w:right="424" w:bottom="56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6131" w14:textId="77777777" w:rsidR="00317F9E" w:rsidRDefault="00317F9E">
      <w:r>
        <w:separator/>
      </w:r>
    </w:p>
  </w:endnote>
  <w:endnote w:type="continuationSeparator" w:id="0">
    <w:p w14:paraId="628C8CE9" w14:textId="77777777" w:rsidR="00317F9E" w:rsidRDefault="003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9E10" w14:textId="77777777" w:rsidR="00317F9E" w:rsidRDefault="00317F9E">
      <w:r>
        <w:separator/>
      </w:r>
    </w:p>
  </w:footnote>
  <w:footnote w:type="continuationSeparator" w:id="0">
    <w:p w14:paraId="07307B86" w14:textId="77777777" w:rsidR="00317F9E" w:rsidRDefault="0031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649295">
    <w:abstractNumId w:val="0"/>
  </w:num>
  <w:num w:numId="2" w16cid:durableId="373165673">
    <w:abstractNumId w:val="5"/>
  </w:num>
  <w:num w:numId="3" w16cid:durableId="1165628599">
    <w:abstractNumId w:val="13"/>
  </w:num>
  <w:num w:numId="4" w16cid:durableId="346752946">
    <w:abstractNumId w:val="12"/>
  </w:num>
  <w:num w:numId="5" w16cid:durableId="1884101744">
    <w:abstractNumId w:val="10"/>
  </w:num>
  <w:num w:numId="6" w16cid:durableId="1931693782">
    <w:abstractNumId w:val="9"/>
  </w:num>
  <w:num w:numId="7" w16cid:durableId="1708870757">
    <w:abstractNumId w:val="15"/>
  </w:num>
  <w:num w:numId="8" w16cid:durableId="1578831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021560">
    <w:abstractNumId w:val="7"/>
  </w:num>
  <w:num w:numId="10" w16cid:durableId="1764717804">
    <w:abstractNumId w:val="11"/>
  </w:num>
  <w:num w:numId="11" w16cid:durableId="764420977">
    <w:abstractNumId w:val="6"/>
  </w:num>
  <w:num w:numId="12" w16cid:durableId="1838226165">
    <w:abstractNumId w:val="8"/>
  </w:num>
  <w:num w:numId="13" w16cid:durableId="2061005110">
    <w:abstractNumId w:val="4"/>
  </w:num>
  <w:num w:numId="14" w16cid:durableId="1201820306">
    <w:abstractNumId w:val="14"/>
  </w:num>
  <w:num w:numId="15" w16cid:durableId="24643209">
    <w:abstractNumId w:val="2"/>
  </w:num>
  <w:num w:numId="16" w16cid:durableId="10803280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5087"/>
    <w:rsid w:val="000351DD"/>
    <w:rsid w:val="000357BA"/>
    <w:rsid w:val="0003762E"/>
    <w:rsid w:val="000456B7"/>
    <w:rsid w:val="00047C9F"/>
    <w:rsid w:val="0005486F"/>
    <w:rsid w:val="00057A8B"/>
    <w:rsid w:val="00076DE0"/>
    <w:rsid w:val="00080EF8"/>
    <w:rsid w:val="00091378"/>
    <w:rsid w:val="00091A5E"/>
    <w:rsid w:val="00091EFB"/>
    <w:rsid w:val="000A01F1"/>
    <w:rsid w:val="000A15DC"/>
    <w:rsid w:val="000A18A9"/>
    <w:rsid w:val="000B2EE3"/>
    <w:rsid w:val="000B4D14"/>
    <w:rsid w:val="000C3163"/>
    <w:rsid w:val="000C3720"/>
    <w:rsid w:val="000C6356"/>
    <w:rsid w:val="000D1D14"/>
    <w:rsid w:val="000E562B"/>
    <w:rsid w:val="000E610A"/>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71DA"/>
    <w:rsid w:val="002F0963"/>
    <w:rsid w:val="002F2D0A"/>
    <w:rsid w:val="002F4860"/>
    <w:rsid w:val="002F7C8B"/>
    <w:rsid w:val="003014FB"/>
    <w:rsid w:val="00306F9C"/>
    <w:rsid w:val="00310139"/>
    <w:rsid w:val="00317F9E"/>
    <w:rsid w:val="003354EE"/>
    <w:rsid w:val="00335C7B"/>
    <w:rsid w:val="00337ED6"/>
    <w:rsid w:val="00343F0E"/>
    <w:rsid w:val="003448B3"/>
    <w:rsid w:val="00353485"/>
    <w:rsid w:val="00353CEE"/>
    <w:rsid w:val="003622BD"/>
    <w:rsid w:val="003624B1"/>
    <w:rsid w:val="00365B31"/>
    <w:rsid w:val="00366E54"/>
    <w:rsid w:val="0037505E"/>
    <w:rsid w:val="00376EC1"/>
    <w:rsid w:val="00390428"/>
    <w:rsid w:val="00393FDD"/>
    <w:rsid w:val="00395BD3"/>
    <w:rsid w:val="003A5B8F"/>
    <w:rsid w:val="003B13A7"/>
    <w:rsid w:val="003B3DD7"/>
    <w:rsid w:val="003C049B"/>
    <w:rsid w:val="003C189C"/>
    <w:rsid w:val="003C2BD0"/>
    <w:rsid w:val="003E0389"/>
    <w:rsid w:val="003E65A3"/>
    <w:rsid w:val="003F1E66"/>
    <w:rsid w:val="003F44A6"/>
    <w:rsid w:val="003F4931"/>
    <w:rsid w:val="003F7C38"/>
    <w:rsid w:val="0040129F"/>
    <w:rsid w:val="004036F5"/>
    <w:rsid w:val="0040697D"/>
    <w:rsid w:val="00407D27"/>
    <w:rsid w:val="00413B72"/>
    <w:rsid w:val="004149F6"/>
    <w:rsid w:val="00417E62"/>
    <w:rsid w:val="004244A8"/>
    <w:rsid w:val="0043026C"/>
    <w:rsid w:val="00432DEC"/>
    <w:rsid w:val="00435637"/>
    <w:rsid w:val="0043712E"/>
    <w:rsid w:val="00442CF6"/>
    <w:rsid w:val="00457F02"/>
    <w:rsid w:val="00464399"/>
    <w:rsid w:val="00483A3D"/>
    <w:rsid w:val="00484565"/>
    <w:rsid w:val="004904C0"/>
    <w:rsid w:val="004922FE"/>
    <w:rsid w:val="004973C2"/>
    <w:rsid w:val="004974F5"/>
    <w:rsid w:val="004A2038"/>
    <w:rsid w:val="004A3D14"/>
    <w:rsid w:val="004A4379"/>
    <w:rsid w:val="004B3ED7"/>
    <w:rsid w:val="004B4A8A"/>
    <w:rsid w:val="004B68DE"/>
    <w:rsid w:val="004B7F32"/>
    <w:rsid w:val="004C39EA"/>
    <w:rsid w:val="004C5574"/>
    <w:rsid w:val="004C782A"/>
    <w:rsid w:val="004D2085"/>
    <w:rsid w:val="004D4028"/>
    <w:rsid w:val="004D4D5E"/>
    <w:rsid w:val="004F1A7E"/>
    <w:rsid w:val="004F552B"/>
    <w:rsid w:val="004F7C46"/>
    <w:rsid w:val="0050002A"/>
    <w:rsid w:val="00501A68"/>
    <w:rsid w:val="0050320F"/>
    <w:rsid w:val="0050461D"/>
    <w:rsid w:val="00527747"/>
    <w:rsid w:val="00527FFC"/>
    <w:rsid w:val="00533E78"/>
    <w:rsid w:val="00536793"/>
    <w:rsid w:val="00542028"/>
    <w:rsid w:val="005532D4"/>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2A74"/>
    <w:rsid w:val="006234EE"/>
    <w:rsid w:val="006329F4"/>
    <w:rsid w:val="00633606"/>
    <w:rsid w:val="00633B68"/>
    <w:rsid w:val="00635D8B"/>
    <w:rsid w:val="006376AC"/>
    <w:rsid w:val="006433A3"/>
    <w:rsid w:val="006440E3"/>
    <w:rsid w:val="0064614F"/>
    <w:rsid w:val="0065159B"/>
    <w:rsid w:val="00655052"/>
    <w:rsid w:val="0065573C"/>
    <w:rsid w:val="00660D6D"/>
    <w:rsid w:val="00665490"/>
    <w:rsid w:val="006743E8"/>
    <w:rsid w:val="00681406"/>
    <w:rsid w:val="0068351F"/>
    <w:rsid w:val="00686BE3"/>
    <w:rsid w:val="00692E55"/>
    <w:rsid w:val="0069755E"/>
    <w:rsid w:val="006B1145"/>
    <w:rsid w:val="006B1AE0"/>
    <w:rsid w:val="006B591F"/>
    <w:rsid w:val="006B762D"/>
    <w:rsid w:val="006C09C5"/>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8FA"/>
    <w:rsid w:val="007D2230"/>
    <w:rsid w:val="007E0DAF"/>
    <w:rsid w:val="007E1187"/>
    <w:rsid w:val="007E3325"/>
    <w:rsid w:val="007F00B1"/>
    <w:rsid w:val="007F2188"/>
    <w:rsid w:val="007F56B9"/>
    <w:rsid w:val="00801377"/>
    <w:rsid w:val="008032B3"/>
    <w:rsid w:val="008048C0"/>
    <w:rsid w:val="00812622"/>
    <w:rsid w:val="00820387"/>
    <w:rsid w:val="008302CD"/>
    <w:rsid w:val="00832DF7"/>
    <w:rsid w:val="00837E08"/>
    <w:rsid w:val="00843A39"/>
    <w:rsid w:val="0085771B"/>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6DA0"/>
    <w:rsid w:val="009A18D8"/>
    <w:rsid w:val="009A47AF"/>
    <w:rsid w:val="009A4B52"/>
    <w:rsid w:val="009A5A4C"/>
    <w:rsid w:val="009B1CBE"/>
    <w:rsid w:val="009B29F6"/>
    <w:rsid w:val="009B76C7"/>
    <w:rsid w:val="009C063E"/>
    <w:rsid w:val="009C19FB"/>
    <w:rsid w:val="009C2CDA"/>
    <w:rsid w:val="009C447F"/>
    <w:rsid w:val="009D450F"/>
    <w:rsid w:val="009D5533"/>
    <w:rsid w:val="009D5D62"/>
    <w:rsid w:val="009E50EC"/>
    <w:rsid w:val="009E6E7C"/>
    <w:rsid w:val="009F67A7"/>
    <w:rsid w:val="00A018CD"/>
    <w:rsid w:val="00A0272E"/>
    <w:rsid w:val="00A036F1"/>
    <w:rsid w:val="00A06DE8"/>
    <w:rsid w:val="00A076BD"/>
    <w:rsid w:val="00A17459"/>
    <w:rsid w:val="00A24139"/>
    <w:rsid w:val="00A24191"/>
    <w:rsid w:val="00A41581"/>
    <w:rsid w:val="00A47665"/>
    <w:rsid w:val="00A479F0"/>
    <w:rsid w:val="00A54C20"/>
    <w:rsid w:val="00A55B72"/>
    <w:rsid w:val="00A561E3"/>
    <w:rsid w:val="00A62B88"/>
    <w:rsid w:val="00A6614C"/>
    <w:rsid w:val="00A70C37"/>
    <w:rsid w:val="00A70D77"/>
    <w:rsid w:val="00A74426"/>
    <w:rsid w:val="00A76012"/>
    <w:rsid w:val="00A80E73"/>
    <w:rsid w:val="00A84AB1"/>
    <w:rsid w:val="00A90B04"/>
    <w:rsid w:val="00AA0B6D"/>
    <w:rsid w:val="00AB5A59"/>
    <w:rsid w:val="00AB65B0"/>
    <w:rsid w:val="00AC0708"/>
    <w:rsid w:val="00AD3B1F"/>
    <w:rsid w:val="00AD51B0"/>
    <w:rsid w:val="00AE5757"/>
    <w:rsid w:val="00AE723B"/>
    <w:rsid w:val="00AF044F"/>
    <w:rsid w:val="00B06FF7"/>
    <w:rsid w:val="00B11D69"/>
    <w:rsid w:val="00B301A7"/>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7AB4"/>
    <w:rsid w:val="00C615B6"/>
    <w:rsid w:val="00C62385"/>
    <w:rsid w:val="00C639FB"/>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7BE"/>
    <w:rsid w:val="00CD41E3"/>
    <w:rsid w:val="00CD5DCD"/>
    <w:rsid w:val="00CD6A36"/>
    <w:rsid w:val="00CE40B2"/>
    <w:rsid w:val="00CF3F94"/>
    <w:rsid w:val="00D0160E"/>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31"/>
    <w:rsid w:val="00DE6F31"/>
    <w:rsid w:val="00DE7589"/>
    <w:rsid w:val="00DF19F2"/>
    <w:rsid w:val="00DF37CD"/>
    <w:rsid w:val="00DF52DD"/>
    <w:rsid w:val="00E011D5"/>
    <w:rsid w:val="00E049B8"/>
    <w:rsid w:val="00E0523E"/>
    <w:rsid w:val="00E05C1A"/>
    <w:rsid w:val="00E05FC2"/>
    <w:rsid w:val="00E13528"/>
    <w:rsid w:val="00E16E34"/>
    <w:rsid w:val="00E20309"/>
    <w:rsid w:val="00E224CE"/>
    <w:rsid w:val="00E229FF"/>
    <w:rsid w:val="00E30127"/>
    <w:rsid w:val="00E37A46"/>
    <w:rsid w:val="00E4366F"/>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E353E"/>
    <w:rsid w:val="00EE3D0F"/>
    <w:rsid w:val="00EF34BA"/>
    <w:rsid w:val="00EF6A87"/>
    <w:rsid w:val="00F07472"/>
    <w:rsid w:val="00F11DF7"/>
    <w:rsid w:val="00F1535E"/>
    <w:rsid w:val="00F162B3"/>
    <w:rsid w:val="00F17EB6"/>
    <w:rsid w:val="00F222DA"/>
    <w:rsid w:val="00F249F3"/>
    <w:rsid w:val="00F37374"/>
    <w:rsid w:val="00F4278A"/>
    <w:rsid w:val="00F46931"/>
    <w:rsid w:val="00F50279"/>
    <w:rsid w:val="00F556E9"/>
    <w:rsid w:val="00F5714C"/>
    <w:rsid w:val="00F60964"/>
    <w:rsid w:val="00F6420B"/>
    <w:rsid w:val="00F7131B"/>
    <w:rsid w:val="00F724BD"/>
    <w:rsid w:val="00F7364A"/>
    <w:rsid w:val="00F77955"/>
    <w:rsid w:val="00F81DB1"/>
    <w:rsid w:val="00F86F6D"/>
    <w:rsid w:val="00F906F7"/>
    <w:rsid w:val="00F9514F"/>
    <w:rsid w:val="00FA5503"/>
    <w:rsid w:val="00FB0905"/>
    <w:rsid w:val="00FB34E2"/>
    <w:rsid w:val="00FB5319"/>
    <w:rsid w:val="00FC4292"/>
    <w:rsid w:val="00FD4447"/>
    <w:rsid w:val="00FD5B7F"/>
    <w:rsid w:val="00FD6D30"/>
    <w:rsid w:val="00FD7B6B"/>
    <w:rsid w:val="00FE34C1"/>
    <w:rsid w:val="00FF09F7"/>
    <w:rsid w:val="00FF1E5F"/>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25</Pages>
  <Words>10144</Words>
  <Characters>57821</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12</cp:revision>
  <cp:lastPrinted>2023-03-07T12:09:00Z</cp:lastPrinted>
  <dcterms:created xsi:type="dcterms:W3CDTF">2023-03-09T13:49:00Z</dcterms:created>
  <dcterms:modified xsi:type="dcterms:W3CDTF">2023-04-04T07:01:00Z</dcterms:modified>
</cp:coreProperties>
</file>