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left="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w:t>
      </w:r>
      <w:r>
        <w:rPr>
          <w:rFonts w:ascii="Times New Roman" w:hAnsi="Times New Roman"/>
          <w:b/>
          <w:bCs/>
          <w:color w:val="000000"/>
          <w:sz w:val="24"/>
          <w:szCs w:val="24"/>
          <w:lang w:val="uk-UA" w:eastAsia="ar-SA"/>
        </w:rPr>
        <w:t>1</w:t>
      </w:r>
    </w:p>
    <w:p>
      <w:pPr>
        <w:pStyle w:val="Normal"/>
        <w:shd w:fill="FFFFFF" w:val="clear"/>
        <w:spacing w:lineRule="auto" w:line="240" w:before="0" w:after="0"/>
        <w:ind w:left="5400" w:right="0" w:firstLine="45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lang w:val="uk-UA"/>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Pr>
          <w:rFonts w:eastAsia="Times New Roman" w:ascii="Times New Roman" w:hAnsi="Times New Roman"/>
          <w:b/>
          <w:bCs/>
          <w:i w:val="false"/>
          <w:iCs w:val="false"/>
          <w:sz w:val="24"/>
          <w:szCs w:val="24"/>
          <w:lang w:val="uk-UA" w:eastAsia="ar-SA"/>
        </w:rPr>
        <w:t>«Лабораторні дослідження різні (код ДК 021:2015 — 85140000-2. Послуги у сфері охорони здоров’я різні): Лот №1 – “Лабораторні дослідження різні (код ДК 021:2015 — 85145000-7 - Послуги медичних лабораторій); Лот №2 – Профілактичне дослідження на носійство збудників кишкових інфекцій  (код ДК 021:2015 — 85145000-7 - Послуги медичних лабораторій)»:</w:t>
      </w:r>
    </w:p>
    <w:p>
      <w:pPr>
        <w:pStyle w:val="Normal"/>
        <w:widowControl w:val="false"/>
        <w:autoSpaceDE w:val="false"/>
        <w:spacing w:lineRule="auto" w:line="360" w:before="0" w:after="0"/>
        <w:jc w:val="both"/>
        <w:rPr>
          <w:lang w:val="uk-UA"/>
        </w:rPr>
      </w:pPr>
      <w:r>
        <w:rPr>
          <w:rFonts w:eastAsia="Times New Roman" w:cs="Times New Roman" w:ascii="Times New Roman" w:hAnsi="Times New Roman"/>
          <w:b/>
          <w:color w:val="000000"/>
          <w:sz w:val="24"/>
          <w:szCs w:val="24"/>
          <w:shd w:fill="FFFFFF" w:val="clear"/>
          <w:lang w:val="uk-UA"/>
        </w:rPr>
        <w:tab/>
      </w:r>
      <w:r>
        <w:rPr>
          <w:rFonts w:eastAsia="Times New Roman" w:cs="Times New Roman" w:ascii="Times New Roman" w:hAnsi="Times New Roman"/>
          <w:b/>
          <w:bCs/>
          <w:i w:val="false"/>
          <w:iCs w:val="false"/>
          <w:color w:val="000000"/>
          <w:sz w:val="24"/>
          <w:szCs w:val="24"/>
          <w:shd w:fill="FFFFFF" w:val="clear"/>
          <w:lang w:val="uk-UA" w:eastAsia="en-US" w:bidi="en-US"/>
        </w:rPr>
        <w:t>1.1. Лот №1</w:t>
      </w:r>
      <w:r>
        <w:rPr>
          <w:rFonts w:cs="Times New Roman"/>
          <w:b/>
          <w:bCs/>
          <w:i w:val="false"/>
          <w:iCs w:val="false"/>
          <w:color w:val="000000"/>
          <w:sz w:val="24"/>
          <w:szCs w:val="24"/>
          <w:lang w:val="uk-UA" w:eastAsia="en-US" w:bidi="en-US"/>
        </w:rPr>
        <w:t xml:space="preserve"> – Лабораторні дослідження різні (код ДК 021:2015 — 85145000-7. Послуги медичних лабораторій): </w:t>
      </w:r>
    </w:p>
    <w:tbl>
      <w:tblPr>
        <w:tblW w:w="10425" w:type="dxa"/>
        <w:jc w:val="left"/>
        <w:tblInd w:w="-89" w:type="dxa"/>
        <w:tblLayout w:type="fixed"/>
        <w:tblCellMar>
          <w:top w:w="55" w:type="dxa"/>
          <w:left w:w="108" w:type="dxa"/>
          <w:bottom w:w="55" w:type="dxa"/>
          <w:right w:w="108" w:type="dxa"/>
        </w:tblCellMar>
      </w:tblPr>
      <w:tblGrid>
        <w:gridCol w:w="855"/>
        <w:gridCol w:w="7425"/>
        <w:gridCol w:w="2145"/>
      </w:tblGrid>
      <w:tr>
        <w:trPr>
          <w:trHeight w:val="345" w:hRule="atLeast"/>
        </w:trPr>
        <w:tc>
          <w:tcPr>
            <w:tcW w:w="855" w:type="dxa"/>
            <w:tcBorders>
              <w:top w:val="single" w:sz="4" w:space="0" w:color="000000"/>
              <w:left w:val="single" w:sz="4" w:space="0" w:color="000000"/>
              <w:bottom w:val="single" w:sz="4" w:space="0" w:color="000000"/>
            </w:tcBorders>
            <w:vAlign w:val="center"/>
          </w:tcPr>
          <w:p>
            <w:pPr>
              <w:pStyle w:val="HTML"/>
              <w:widowControl w:val="false"/>
              <w:spacing w:lineRule="auto" w:line="276" w:before="0" w:after="0"/>
              <w:jc w:val="center"/>
              <w:rPr>
                <w:rFonts w:ascii="Times New Roman" w:hAnsi="Times New Roman" w:cs="Times New Roman"/>
                <w:b w:val="false"/>
                <w:bCs w:val="false"/>
                <w:sz w:val="24"/>
                <w:szCs w:val="24"/>
                <w:lang w:val="uk-UA"/>
              </w:rPr>
            </w:pPr>
            <w:r>
              <w:rPr>
                <w:rFonts w:cs="Times New Roman" w:ascii="Times New Roman" w:hAnsi="Times New Roman"/>
                <w:b w:val="false"/>
                <w:bCs w:val="false"/>
                <w:sz w:val="24"/>
                <w:szCs w:val="24"/>
                <w:lang w:val="uk-UA"/>
              </w:rPr>
              <w:t xml:space="preserve">№ </w:t>
            </w:r>
            <w:r>
              <w:rPr>
                <w:rFonts w:cs="Times New Roman" w:ascii="Times New Roman" w:hAnsi="Times New Roman"/>
                <w:b w:val="false"/>
                <w:bCs w:val="false"/>
                <w:sz w:val="24"/>
                <w:szCs w:val="24"/>
                <w:lang w:val="uk-UA"/>
              </w:rPr>
              <w:t>п/п</w:t>
            </w:r>
          </w:p>
        </w:tc>
        <w:tc>
          <w:tcPr>
            <w:tcW w:w="7425" w:type="dxa"/>
            <w:tcBorders>
              <w:top w:val="single" w:sz="4" w:space="0" w:color="000000"/>
              <w:left w:val="single" w:sz="4" w:space="0" w:color="000000"/>
              <w:bottom w:val="single" w:sz="4" w:space="0" w:color="000000"/>
            </w:tcBorders>
            <w:vAlign w:val="center"/>
          </w:tcPr>
          <w:p>
            <w:pPr>
              <w:pStyle w:val="HTML"/>
              <w:widowControl w:val="false"/>
              <w:spacing w:lineRule="auto" w:line="276" w:before="0" w:after="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Найменування послуг / дослідження</w:t>
            </w:r>
          </w:p>
        </w:tc>
        <w:tc>
          <w:tcPr>
            <w:tcW w:w="2145" w:type="dxa"/>
            <w:tcBorders>
              <w:top w:val="single" w:sz="4" w:space="0" w:color="000000"/>
              <w:left w:val="single" w:sz="4" w:space="0" w:color="000000"/>
              <w:bottom w:val="single" w:sz="4" w:space="0" w:color="000000"/>
              <w:right w:val="single" w:sz="4" w:space="0" w:color="000000"/>
            </w:tcBorders>
            <w:vAlign w:val="center"/>
          </w:tcPr>
          <w:p>
            <w:pPr>
              <w:pStyle w:val="HTML"/>
              <w:widowControl w:val="false"/>
              <w:spacing w:lineRule="auto" w:line="276" w:before="0" w:after="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Кількість, од.</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Дослідження біологічного матеріалу методом ІФА для визначення HIV 1/2, Ab/Ag p24 (вагітні)</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370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Дослідження біологічного матеріалу методом ІФА для визначення HIV 1/2, Ab/Ag p24</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40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І</w:t>
            </w:r>
            <w:r>
              <w:rPr>
                <w:color w:val="000000"/>
                <w:lang w:val="uk-UA"/>
              </w:rPr>
              <w:t xml:space="preserve">ФА метод визначення поверхневого антигену до гепатиту B(HBsAg) </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300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І</w:t>
            </w:r>
            <w:r>
              <w:rPr>
                <w:color w:val="000000"/>
                <w:lang w:val="uk-UA"/>
              </w:rPr>
              <w:t xml:space="preserve">ФА метод визначення сумарних антитіл до гепатиту С (а-HCV) </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300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 xml:space="preserve">Дослідження: Рівень вірусного навантаження ВІЛ </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60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Дослідження: Кількість CD3/CD4/CD8 лімфоцитів методом проточної цитометрії</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60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 xml:space="preserve">Дослідження: ІФА метод Сифіліс для визначення сумарних антитіл Treponema pallidum </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200</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Дослідження біологічного матеріалу методом ПЛР провірусної ДНК ВІЛ в крові у дітей, народжених ВІЛ-інфікованими матерями</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5</w:t>
            </w:r>
          </w:p>
        </w:tc>
      </w:tr>
      <w:tr>
        <w:trPr>
          <w:trHeight w:val="765" w:hRule="atLeast"/>
        </w:trPr>
        <w:tc>
          <w:tcPr>
            <w:tcW w:w="855" w:type="dxa"/>
            <w:tcBorders>
              <w:left w:val="single" w:sz="4" w:space="0" w:color="000000"/>
              <w:bottom w:val="single" w:sz="4" w:space="0" w:color="000000"/>
            </w:tcBorders>
            <w:vAlign w:val="center"/>
          </w:tcPr>
          <w:p>
            <w:pPr>
              <w:pStyle w:val="HTML"/>
              <w:widowControl w:val="false"/>
              <w:numPr>
                <w:ilvl w:val="0"/>
                <w:numId w:val="2"/>
              </w:numPr>
              <w:suppressAutoHyphens w:val="true"/>
              <w:bidi w:val="0"/>
              <w:snapToGrid w:val="false"/>
              <w:spacing w:lineRule="auto" w:line="276" w:before="0" w:after="0"/>
              <w:ind w:left="454" w:right="57" w:hanging="340"/>
              <w:jc w:val="center"/>
              <w:rPr>
                <w:rFonts w:ascii="Times New Roman" w:hAnsi="Times New Roman" w:cs="Times New Roman"/>
                <w:b/>
                <w:bCs/>
                <w:color w:val="000000"/>
                <w:sz w:val="24"/>
                <w:szCs w:val="24"/>
                <w:lang w:val="uk-UA"/>
              </w:rPr>
            </w:pPr>
            <w:r>
              <w:rPr>
                <w:rFonts w:cs="Times New Roman" w:ascii="Times New Roman" w:hAnsi="Times New Roman"/>
                <w:b/>
                <w:bCs/>
                <w:color w:val="000000"/>
                <w:sz w:val="24"/>
                <w:szCs w:val="24"/>
                <w:lang w:val="uk-UA"/>
              </w:rPr>
            </w:r>
          </w:p>
        </w:tc>
        <w:tc>
          <w:tcPr>
            <w:tcW w:w="7425"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Дослідження біологічного матеріалу методом ПЛР ВІЛ в сухій краплі крові у дітей, народжених ВІЛ-інфікованими матерями</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5</w:t>
            </w:r>
          </w:p>
        </w:tc>
      </w:tr>
    </w:tbl>
    <w:p>
      <w:pPr>
        <w:pStyle w:val="Normal"/>
        <w:tabs>
          <w:tab w:val="clear" w:pos="709"/>
          <w:tab w:val="left" w:pos="0" w:leader="none"/>
        </w:tabs>
        <w:spacing w:lineRule="auto" w:line="360" w:before="0" w:after="0"/>
        <w:jc w:val="both"/>
        <w:rPr>
          <w:rFonts w:cs="Times New Roman"/>
          <w:i w:val="false"/>
          <w:i w:val="false"/>
          <w:iCs w:val="false"/>
          <w:color w:val="000000"/>
          <w:sz w:val="24"/>
          <w:szCs w:val="24"/>
          <w:lang w:val="uk-UA" w:eastAsia="en-US" w:bidi="en-US"/>
        </w:rPr>
      </w:pPr>
      <w:r>
        <w:rPr>
          <w:rFonts w:cs="Times New Roman"/>
          <w:i w:val="false"/>
          <w:iCs w:val="false"/>
          <w:color w:val="000000"/>
          <w:sz w:val="24"/>
          <w:szCs w:val="24"/>
          <w:lang w:val="uk-UA" w:eastAsia="en-US" w:bidi="en-US"/>
        </w:rPr>
      </w:r>
    </w:p>
    <w:p>
      <w:pPr>
        <w:pStyle w:val="Normal"/>
        <w:tabs>
          <w:tab w:val="clear" w:pos="709"/>
          <w:tab w:val="left" w:pos="0" w:leader="none"/>
        </w:tabs>
        <w:spacing w:lineRule="auto" w:line="360" w:before="0" w:after="0"/>
        <w:jc w:val="both"/>
        <w:rPr>
          <w:rFonts w:cs="Times New Roman"/>
          <w:b/>
          <w:bCs/>
          <w:i w:val="false"/>
          <w:i w:val="false"/>
          <w:iCs w:val="false"/>
          <w:color w:val="000000"/>
          <w:sz w:val="24"/>
          <w:szCs w:val="24"/>
          <w:lang w:eastAsia="en-US" w:bidi="en-US"/>
        </w:rPr>
      </w:pPr>
      <w:r>
        <w:rPr>
          <w:lang w:val="uk-UA"/>
        </w:rPr>
      </w:r>
    </w:p>
    <w:p>
      <w:pPr>
        <w:pStyle w:val="Normal"/>
        <w:tabs>
          <w:tab w:val="clear" w:pos="709"/>
          <w:tab w:val="left" w:pos="0" w:leader="none"/>
        </w:tabs>
        <w:spacing w:lineRule="auto" w:line="360" w:before="0" w:after="0"/>
        <w:jc w:val="both"/>
        <w:rPr>
          <w:rFonts w:cs="Times New Roman"/>
          <w:b/>
          <w:bCs/>
          <w:i w:val="false"/>
          <w:i w:val="false"/>
          <w:iCs w:val="false"/>
          <w:color w:val="000000"/>
          <w:sz w:val="24"/>
          <w:szCs w:val="24"/>
          <w:lang w:eastAsia="en-US" w:bidi="en-US"/>
        </w:rPr>
      </w:pPr>
      <w:r>
        <w:rPr>
          <w:lang w:val="uk-UA"/>
        </w:rPr>
      </w:r>
    </w:p>
    <w:p>
      <w:pPr>
        <w:pStyle w:val="Normal"/>
        <w:tabs>
          <w:tab w:val="clear" w:pos="709"/>
          <w:tab w:val="left" w:pos="0" w:leader="none"/>
        </w:tabs>
        <w:spacing w:lineRule="auto" w:line="360" w:before="0" w:after="0"/>
        <w:jc w:val="both"/>
        <w:rPr>
          <w:rFonts w:cs="Times New Roman"/>
          <w:b/>
          <w:bCs/>
          <w:i w:val="false"/>
          <w:i w:val="false"/>
          <w:iCs w:val="false"/>
          <w:color w:val="000000"/>
          <w:sz w:val="24"/>
          <w:szCs w:val="24"/>
          <w:lang w:eastAsia="en-US" w:bidi="en-US"/>
        </w:rPr>
      </w:pPr>
      <w:r>
        <w:rPr>
          <w:lang w:val="uk-UA"/>
        </w:rPr>
      </w:r>
    </w:p>
    <w:p>
      <w:pPr>
        <w:pStyle w:val="Normal"/>
        <w:tabs>
          <w:tab w:val="clear" w:pos="709"/>
          <w:tab w:val="left" w:pos="0" w:leader="none"/>
        </w:tabs>
        <w:spacing w:lineRule="auto" w:line="360" w:before="0" w:after="0"/>
        <w:jc w:val="both"/>
        <w:rPr>
          <w:rFonts w:cs="Times New Roman"/>
          <w:b/>
          <w:bCs/>
          <w:i w:val="false"/>
          <w:i w:val="false"/>
          <w:iCs w:val="false"/>
          <w:color w:val="000000"/>
          <w:sz w:val="24"/>
          <w:szCs w:val="24"/>
          <w:lang w:eastAsia="en-US" w:bidi="en-US"/>
        </w:rPr>
      </w:pPr>
      <w:r>
        <w:rPr>
          <w:lang w:val="uk-UA"/>
        </w:rPr>
      </w:r>
    </w:p>
    <w:p>
      <w:pPr>
        <w:pStyle w:val="Normal"/>
        <w:tabs>
          <w:tab w:val="clear" w:pos="709"/>
          <w:tab w:val="left" w:pos="0" w:leader="none"/>
        </w:tabs>
        <w:spacing w:lineRule="auto" w:line="360" w:before="0" w:after="0"/>
        <w:jc w:val="both"/>
        <w:rPr>
          <w:rFonts w:cs="Times New Roman"/>
          <w:b/>
          <w:bCs/>
          <w:i w:val="false"/>
          <w:i w:val="false"/>
          <w:iCs w:val="false"/>
          <w:color w:val="000000"/>
          <w:sz w:val="24"/>
          <w:szCs w:val="24"/>
          <w:lang w:eastAsia="en-US" w:bidi="en-US"/>
        </w:rPr>
      </w:pPr>
      <w:r>
        <w:rPr>
          <w:lang w:val="uk-UA"/>
        </w:rPr>
      </w:r>
    </w:p>
    <w:p>
      <w:pPr>
        <w:pStyle w:val="Normal"/>
        <w:tabs>
          <w:tab w:val="clear" w:pos="709"/>
          <w:tab w:val="left" w:pos="0" w:leader="none"/>
        </w:tabs>
        <w:spacing w:lineRule="auto" w:line="360" w:before="0" w:after="0"/>
        <w:jc w:val="both"/>
        <w:rPr>
          <w:lang w:val="uk-UA"/>
        </w:rPr>
      </w:pPr>
      <w:r>
        <w:rPr>
          <w:rFonts w:cs="Times New Roman"/>
          <w:b/>
          <w:bCs/>
          <w:i w:val="false"/>
          <w:iCs w:val="false"/>
          <w:color w:val="000000"/>
          <w:sz w:val="24"/>
          <w:szCs w:val="24"/>
          <w:lang w:val="uk-UA" w:eastAsia="en-US" w:bidi="en-US"/>
        </w:rPr>
        <w:t>1.</w:t>
      </w:r>
      <w:r>
        <w:rPr>
          <w:rFonts w:eastAsia="Calibri" w:cs="Times New Roman"/>
          <w:b/>
          <w:bCs/>
          <w:i w:val="false"/>
          <w:iCs w:val="false"/>
          <w:color w:val="000000"/>
          <w:kern w:val="0"/>
          <w:sz w:val="24"/>
          <w:szCs w:val="24"/>
          <w:lang w:val="uk-UA" w:eastAsia="en-US" w:bidi="en-US"/>
        </w:rPr>
        <w:t>2</w:t>
      </w:r>
      <w:r>
        <w:rPr>
          <w:rFonts w:cs="Times New Roman"/>
          <w:b/>
          <w:bCs/>
          <w:i w:val="false"/>
          <w:iCs w:val="false"/>
          <w:color w:val="000000"/>
          <w:sz w:val="24"/>
          <w:szCs w:val="24"/>
          <w:lang w:val="uk-UA" w:eastAsia="en-US" w:bidi="en-US"/>
        </w:rPr>
        <w:t xml:space="preserve">. </w:t>
      </w:r>
      <w:r>
        <w:rPr>
          <w:rFonts w:eastAsia="Times New Roman" w:cs="Times New Roman" w:ascii="Times New Roman" w:hAnsi="Times New Roman"/>
          <w:b/>
          <w:bCs/>
          <w:i w:val="false"/>
          <w:iCs w:val="false"/>
          <w:color w:val="000000"/>
          <w:sz w:val="24"/>
          <w:szCs w:val="24"/>
          <w:lang w:val="uk-UA" w:eastAsia="ar-SA" w:bidi="en-US"/>
        </w:rPr>
        <w:t>Лот №2 – Профілактичне дослідження на носійство збудників кишкових інфекцій  (код ДК 021:2015 — 85145000-7 - Послуги медичних лабораторій)</w:t>
      </w:r>
      <w:r>
        <w:rPr>
          <w:rFonts w:cs="Times New Roman"/>
          <w:b/>
          <w:bCs/>
          <w:i w:val="false"/>
          <w:iCs w:val="false"/>
          <w:color w:val="000000"/>
          <w:sz w:val="24"/>
          <w:szCs w:val="24"/>
          <w:lang w:val="uk-UA" w:eastAsia="en-US" w:bidi="en-US"/>
        </w:rPr>
        <w:t>:</w:t>
      </w:r>
    </w:p>
    <w:tbl>
      <w:tblPr>
        <w:tblW w:w="10425" w:type="dxa"/>
        <w:jc w:val="left"/>
        <w:tblInd w:w="-89" w:type="dxa"/>
        <w:tblLayout w:type="fixed"/>
        <w:tblCellMar>
          <w:top w:w="55" w:type="dxa"/>
          <w:left w:w="108" w:type="dxa"/>
          <w:bottom w:w="55" w:type="dxa"/>
          <w:right w:w="108" w:type="dxa"/>
        </w:tblCellMar>
      </w:tblPr>
      <w:tblGrid>
        <w:gridCol w:w="630"/>
        <w:gridCol w:w="7650"/>
        <w:gridCol w:w="2145"/>
      </w:tblGrid>
      <w:tr>
        <w:trPr>
          <w:trHeight w:val="345" w:hRule="atLeast"/>
        </w:trPr>
        <w:tc>
          <w:tcPr>
            <w:tcW w:w="630" w:type="dxa"/>
            <w:tcBorders>
              <w:top w:val="single" w:sz="4" w:space="0" w:color="000000"/>
              <w:left w:val="single" w:sz="4" w:space="0" w:color="000000"/>
              <w:bottom w:val="single" w:sz="4" w:space="0" w:color="000000"/>
            </w:tcBorders>
            <w:vAlign w:val="center"/>
          </w:tcPr>
          <w:p>
            <w:pPr>
              <w:pStyle w:val="HTML"/>
              <w:widowControl w:val="false"/>
              <w:spacing w:lineRule="auto" w:line="276" w:before="0" w:after="0"/>
              <w:jc w:val="center"/>
              <w:rPr>
                <w:rFonts w:ascii="Times New Roman" w:hAnsi="Times New Roman" w:cs="Times New Roman"/>
                <w:b w:val="false"/>
                <w:bCs w:val="false"/>
                <w:sz w:val="24"/>
                <w:szCs w:val="24"/>
                <w:lang w:val="uk-UA"/>
              </w:rPr>
            </w:pPr>
            <w:r>
              <w:rPr>
                <w:rFonts w:cs="Times New Roman" w:ascii="Times New Roman" w:hAnsi="Times New Roman"/>
                <w:b w:val="false"/>
                <w:bCs w:val="false"/>
                <w:sz w:val="24"/>
                <w:szCs w:val="24"/>
                <w:lang w:val="uk-UA"/>
              </w:rPr>
              <w:t xml:space="preserve">№ </w:t>
            </w:r>
            <w:r>
              <w:rPr>
                <w:rFonts w:cs="Times New Roman" w:ascii="Times New Roman" w:hAnsi="Times New Roman"/>
                <w:b w:val="false"/>
                <w:bCs w:val="false"/>
                <w:sz w:val="24"/>
                <w:szCs w:val="24"/>
                <w:lang w:val="uk-UA"/>
              </w:rPr>
              <w:t>п/п</w:t>
            </w:r>
          </w:p>
        </w:tc>
        <w:tc>
          <w:tcPr>
            <w:tcW w:w="7650" w:type="dxa"/>
            <w:tcBorders>
              <w:top w:val="single" w:sz="4" w:space="0" w:color="000000"/>
              <w:left w:val="single" w:sz="4" w:space="0" w:color="000000"/>
              <w:bottom w:val="single" w:sz="4" w:space="0" w:color="000000"/>
            </w:tcBorders>
            <w:vAlign w:val="center"/>
          </w:tcPr>
          <w:p>
            <w:pPr>
              <w:pStyle w:val="HTML"/>
              <w:widowControl w:val="false"/>
              <w:spacing w:lineRule="auto" w:line="276" w:before="0" w:after="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Найменування послуг / дослідження</w:t>
            </w:r>
          </w:p>
        </w:tc>
        <w:tc>
          <w:tcPr>
            <w:tcW w:w="2145" w:type="dxa"/>
            <w:tcBorders>
              <w:top w:val="single" w:sz="4" w:space="0" w:color="000000"/>
              <w:left w:val="single" w:sz="4" w:space="0" w:color="000000"/>
              <w:bottom w:val="single" w:sz="4" w:space="0" w:color="000000"/>
              <w:right w:val="single" w:sz="4" w:space="0" w:color="000000"/>
            </w:tcBorders>
            <w:vAlign w:val="center"/>
          </w:tcPr>
          <w:p>
            <w:pPr>
              <w:pStyle w:val="HTML"/>
              <w:widowControl w:val="false"/>
              <w:spacing w:lineRule="auto" w:line="276" w:before="0" w:after="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Кількість, од.</w:t>
            </w:r>
          </w:p>
        </w:tc>
      </w:tr>
      <w:tr>
        <w:trPr>
          <w:trHeight w:val="765" w:hRule="atLeast"/>
        </w:trPr>
        <w:tc>
          <w:tcPr>
            <w:tcW w:w="630" w:type="dxa"/>
            <w:tcBorders>
              <w:left w:val="single" w:sz="4" w:space="0" w:color="000000"/>
              <w:bottom w:val="single" w:sz="4" w:space="0" w:color="000000"/>
            </w:tcBorders>
            <w:vAlign w:val="center"/>
          </w:tcPr>
          <w:p>
            <w:pPr>
              <w:pStyle w:val="HTML"/>
              <w:widowControl w:val="false"/>
              <w:snapToGrid w:val="false"/>
              <w:spacing w:lineRule="auto" w:line="276" w:before="0" w:after="0"/>
              <w:jc w:val="center"/>
              <w:rPr>
                <w:rFonts w:ascii="Times New Roman" w:hAnsi="Times New Roman" w:cs="Times New Roman"/>
                <w:b w:val="false"/>
                <w:bCs w:val="false"/>
                <w:color w:val="000000"/>
                <w:sz w:val="24"/>
                <w:szCs w:val="24"/>
                <w:lang w:val="uk-UA"/>
              </w:rPr>
            </w:pPr>
            <w:r>
              <w:rPr>
                <w:rFonts w:cs="Times New Roman" w:ascii="Times New Roman" w:hAnsi="Times New Roman"/>
                <w:b w:val="false"/>
                <w:bCs w:val="false"/>
                <w:color w:val="000000"/>
                <w:sz w:val="24"/>
                <w:szCs w:val="24"/>
                <w:lang w:val="uk-UA"/>
              </w:rPr>
              <w:t>1</w:t>
            </w:r>
            <w:r>
              <w:rPr>
                <w:rFonts w:cs="Times New Roman" w:ascii="Times New Roman" w:hAnsi="Times New Roman"/>
                <w:b w:val="false"/>
                <w:bCs w:val="false"/>
                <w:color w:val="000000"/>
                <w:sz w:val="24"/>
                <w:szCs w:val="24"/>
                <w:lang w:val="uk-UA"/>
              </w:rPr>
              <w:t>)</w:t>
            </w:r>
          </w:p>
        </w:tc>
        <w:tc>
          <w:tcPr>
            <w:tcW w:w="7650" w:type="dxa"/>
            <w:tcBorders>
              <w:left w:val="single" w:sz="4" w:space="0" w:color="000000"/>
              <w:bottom w:val="single" w:sz="4" w:space="0" w:color="000000"/>
            </w:tcBorders>
            <w:vAlign w:val="center"/>
          </w:tcPr>
          <w:p>
            <w:pPr>
              <w:pStyle w:val="Style21"/>
              <w:jc w:val="left"/>
              <w:rPr>
                <w:color w:val="000000"/>
                <w:lang w:val="uk-UA"/>
              </w:rPr>
            </w:pPr>
            <w:r>
              <w:rPr>
                <w:color w:val="000000"/>
                <w:lang w:val="uk-UA"/>
              </w:rPr>
              <w:t>Профілактичне дослідження на носійство збудників кишкових інфекція</w:t>
            </w:r>
          </w:p>
        </w:tc>
        <w:tc>
          <w:tcPr>
            <w:tcW w:w="2145" w:type="dxa"/>
            <w:tcBorders>
              <w:left w:val="single" w:sz="4" w:space="0" w:color="000000"/>
              <w:bottom w:val="single" w:sz="4" w:space="0" w:color="000000"/>
              <w:right w:val="single" w:sz="4" w:space="0" w:color="000000"/>
            </w:tcBorders>
            <w:vAlign w:val="center"/>
          </w:tcPr>
          <w:p>
            <w:pPr>
              <w:pStyle w:val="Style21"/>
              <w:jc w:val="center"/>
              <w:rPr>
                <w:color w:val="000000"/>
                <w:lang w:val="uk-UA"/>
              </w:rPr>
            </w:pPr>
            <w:r>
              <w:rPr>
                <w:color w:val="000000"/>
                <w:lang w:val="uk-UA"/>
              </w:rPr>
              <w:t>500</w:t>
            </w:r>
          </w:p>
        </w:tc>
      </w:tr>
    </w:tbl>
    <w:p>
      <w:pPr>
        <w:pStyle w:val="Normal"/>
        <w:tabs>
          <w:tab w:val="clear" w:pos="709"/>
          <w:tab w:val="left" w:pos="0" w:leader="none"/>
        </w:tabs>
        <w:spacing w:lineRule="auto" w:line="360" w:before="0" w:after="0"/>
        <w:jc w:val="both"/>
        <w:rPr>
          <w:rFonts w:eastAsia="Times New Roman" w:cs="Times New Roman"/>
          <w:b w:val="false"/>
          <w:bCs w:val="false"/>
          <w:i w:val="false"/>
          <w:i w:val="false"/>
          <w:iCs w:val="false"/>
          <w:color w:val="000000"/>
          <w:sz w:val="24"/>
          <w:szCs w:val="24"/>
          <w:lang w:val="uk-UA" w:eastAsia="en-US" w:bidi="en-US"/>
        </w:rPr>
      </w:pPr>
      <w:r>
        <w:rPr>
          <w:rFonts w:eastAsia="Times New Roman" w:cs="Times New Roman"/>
          <w:b w:val="false"/>
          <w:bCs w:val="false"/>
          <w:i w:val="false"/>
          <w:iCs w:val="false"/>
          <w:color w:val="000000"/>
          <w:sz w:val="24"/>
          <w:szCs w:val="24"/>
          <w:lang w:val="uk-UA" w:eastAsia="en-US" w:bidi="en-US"/>
        </w:rPr>
      </w:r>
    </w:p>
    <w:p>
      <w:pPr>
        <w:pStyle w:val="Normal"/>
        <w:widowControl/>
        <w:suppressAutoHyphens w:val="true"/>
        <w:bidi w:val="0"/>
        <w:spacing w:lineRule="auto" w:line="360" w:before="0" w:after="0"/>
        <w:ind w:left="0" w:right="0" w:hanging="0"/>
        <w:jc w:val="both"/>
        <w:rPr>
          <w:rFonts w:eastAsia="Times New Roman" w:cs="Times New Roman"/>
          <w:b w:val="false"/>
          <w:bCs w:val="false"/>
          <w:color w:val="000000"/>
          <w:kern w:val="0"/>
          <w:sz w:val="24"/>
          <w:szCs w:val="24"/>
          <w:lang w:val="uk-UA" w:eastAsia="ar-SA" w:bidi="ar-SA"/>
        </w:rPr>
      </w:pPr>
      <w:r>
        <w:rPr>
          <w:rFonts w:eastAsia="Times New Roman" w:cs="Times New Roman"/>
          <w:b w:val="false"/>
          <w:bCs w:val="false"/>
          <w:color w:val="000000"/>
          <w:kern w:val="0"/>
          <w:sz w:val="24"/>
          <w:szCs w:val="24"/>
          <w:lang w:val="uk-UA" w:eastAsia="ar-SA" w:bidi="ar-SA"/>
        </w:rPr>
        <w:t xml:space="preserve">2. Виконавець повинен надати послуги, якість яких відповідає умовам чинного законодавства, нормативно-правовим актам, медико-технічним вимогам, у т. ч. з дотримання вимог санітарних норм та охорони здоров'я працівників, захисту довкілля та навколишнього середовища. 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захисним/санітарним одягом та спецодягом, взуттям, рукавичками, засобами індивідуального та колективного захисту, антисептичними та дезінфікувальними засобами покладається на Виконавця. Допуск до надання послуг робітниками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підвищення кваліфікації, інструктажі та навчання по роботі з медобладнанням та лабораторним устаткуванням, реагентами та медматеріалами) покладається на Виконавця в повному обсязі.  </w:t>
      </w:r>
    </w:p>
    <w:p>
      <w:pPr>
        <w:pStyle w:val="Normal"/>
        <w:widowControl/>
        <w:suppressAutoHyphens w:val="true"/>
        <w:bidi w:val="0"/>
        <w:spacing w:lineRule="auto" w:line="360" w:before="0" w:after="0"/>
        <w:ind w:left="0" w:right="0" w:hanging="0"/>
        <w:jc w:val="both"/>
        <w:rPr>
          <w:rFonts w:eastAsia="Times New Roman" w:cs="Times New Roman"/>
          <w:b w:val="false"/>
          <w:bCs w:val="false"/>
          <w:color w:val="000000"/>
          <w:kern w:val="0"/>
          <w:sz w:val="24"/>
          <w:szCs w:val="24"/>
          <w:lang w:val="uk-UA" w:eastAsia="ar-SA" w:bidi="ar-SA"/>
        </w:rPr>
      </w:pPr>
      <w:r>
        <w:rPr>
          <w:rFonts w:eastAsia="Times New Roman" w:cs="Times New Roman"/>
          <w:b w:val="false"/>
          <w:bCs w:val="false"/>
          <w:color w:val="000000"/>
          <w:kern w:val="0"/>
          <w:sz w:val="24"/>
          <w:szCs w:val="24"/>
          <w:lang w:val="uk-UA" w:eastAsia="ar-SA" w:bidi="ar-SA"/>
        </w:rPr>
        <w:t>3. Для надання послуг / виконання робіт повинні використовуватися якісні матеріали, медобладнання, лабораторне устаткування, реагенти та медматеріали, що мають відповідати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left="0" w:right="0" w:hanging="0"/>
        <w:jc w:val="both"/>
        <w:rPr>
          <w:lang w:val="uk-UA"/>
        </w:rPr>
      </w:pPr>
      <w:r>
        <w:rPr>
          <w:rFonts w:eastAsia="Times New Roman" w:cs="Times New Roman"/>
          <w:b w:val="false"/>
          <w:bCs w:val="false"/>
          <w:color w:val="000000"/>
          <w:kern w:val="0"/>
          <w:sz w:val="24"/>
          <w:szCs w:val="24"/>
          <w:lang w:val="uk-UA" w:eastAsia="ar-SA" w:bidi="ar-SA"/>
        </w:rPr>
        <w:t xml:space="preserve">4. В ціні </w:t>
      </w:r>
      <w:r>
        <w:rPr>
          <w:rFonts w:eastAsia="Times New Roman" w:cs="Times New Roman"/>
          <w:b w:val="false"/>
          <w:bCs w:val="false"/>
          <w:color w:val="000000"/>
          <w:kern w:val="0"/>
          <w:sz w:val="24"/>
          <w:szCs w:val="24"/>
          <w:lang w:val="uk-UA" w:eastAsia="ar-SA" w:bidi="ar-SA"/>
        </w:rPr>
        <w:t xml:space="preserve">тендерної </w:t>
      </w:r>
      <w:r>
        <w:rPr>
          <w:rFonts w:eastAsia="Times New Roman" w:cs="Times New Roman"/>
          <w:b w:val="false"/>
          <w:bCs w:val="false"/>
          <w:color w:val="000000"/>
          <w:kern w:val="0"/>
          <w:sz w:val="24"/>
          <w:szCs w:val="24"/>
          <w:lang w:val="uk-UA" w:eastAsia="ar-SA" w:bidi="ar-SA"/>
        </w:rPr>
        <w:t xml:space="preserve">пропозиції учасник </w:t>
      </w:r>
      <w:r>
        <w:rPr>
          <w:rFonts w:eastAsia="Times New Roman" w:cs="Times New Roman" w:ascii="Times New Roman" w:hAnsi="Times New Roman"/>
          <w:b w:val="false"/>
          <w:bCs w:val="false"/>
          <w:color w:val="000000"/>
          <w:kern w:val="0"/>
          <w:sz w:val="24"/>
          <w:szCs w:val="24"/>
          <w:lang w:val="uk-UA" w:eastAsia="ar-SA" w:bidi="ar-SA"/>
        </w:rPr>
        <w:t>процедури</w:t>
      </w:r>
      <w:r>
        <w:rPr>
          <w:rFonts w:eastAsia="Times New Roman" w:cs="Times New Roman"/>
          <w:b w:val="false"/>
          <w:bCs w:val="false"/>
          <w:color w:val="000000"/>
          <w:kern w:val="0"/>
          <w:sz w:val="24"/>
          <w:szCs w:val="24"/>
          <w:lang w:val="uk-UA" w:eastAsia="ar-SA" w:bidi="ar-SA"/>
        </w:rPr>
        <w:t xml:space="preserve"> закупівлі визначає вартість усіх запропонованих до надання / виконання послуг, у т. ч. всіх  необхідних супровідних послуг / робіт, згідно із технічними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left="0" w:right="0" w:hanging="0"/>
        <w:jc w:val="both"/>
        <w:rPr>
          <w:lang w:val="uk-UA"/>
        </w:rPr>
      </w:pPr>
      <w:r>
        <w:rPr>
          <w:rFonts w:eastAsia="Times New Roman" w:cs="Times New Roman"/>
          <w:b w:val="false"/>
          <w:bCs w:val="false"/>
          <w:color w:val="000000"/>
          <w:kern w:val="0"/>
          <w:sz w:val="24"/>
          <w:szCs w:val="24"/>
          <w:lang w:val="uk-UA" w:eastAsia="ar-SA" w:bidi="ar-SA"/>
        </w:rPr>
        <w:t xml:space="preserve">5. Місце надання послуг: </w:t>
      </w:r>
      <w:r>
        <w:rPr>
          <w:rFonts w:eastAsia="Times New Roman" w:cs="Times New Roman"/>
          <w:b/>
          <w:bCs/>
          <w:color w:val="000000"/>
          <w:kern w:val="0"/>
          <w:sz w:val="24"/>
          <w:szCs w:val="24"/>
          <w:lang w:val="uk-UA" w:eastAsia="ar-SA" w:bidi="ar-SA"/>
        </w:rPr>
        <w:t>68100, Одеська область,</w:t>
      </w:r>
    </w:p>
    <w:p>
      <w:pPr>
        <w:pStyle w:val="Normal"/>
        <w:widowControl/>
        <w:suppressAutoHyphens w:val="true"/>
        <w:bidi w:val="0"/>
        <w:spacing w:lineRule="auto" w:line="360" w:before="0" w:after="0"/>
        <w:ind w:left="0" w:right="0" w:hanging="0"/>
        <w:jc w:val="both"/>
        <w:rPr>
          <w:lang w:val="uk-UA"/>
        </w:rPr>
      </w:pPr>
      <w:r>
        <w:rPr>
          <w:rFonts w:eastAsia="Times New Roman" w:cs="Times New Roman"/>
          <w:b/>
          <w:bCs/>
          <w:color w:val="000000"/>
          <w:kern w:val="0"/>
          <w:sz w:val="24"/>
          <w:szCs w:val="24"/>
          <w:lang w:val="uk-UA" w:eastAsia="ar-SA" w:bidi="ar-SA"/>
        </w:rPr>
        <w:t>Білгород-Дністровський район, місто Татарбунари, вулиця Романа Гульченка, будинок 16</w:t>
      </w:r>
    </w:p>
    <w:p>
      <w:pPr>
        <w:pStyle w:val="Normal"/>
        <w:widowControl/>
        <w:numPr>
          <w:ilvl w:val="0"/>
          <w:numId w:val="0"/>
        </w:numPr>
        <w:shd w:fill="FFFFFF" w:val="clear"/>
        <w:suppressAutoHyphens w:val="true"/>
        <w:bidi w:val="0"/>
        <w:spacing w:lineRule="auto" w:line="360" w:before="0" w:after="0"/>
        <w:ind w:left="0" w:right="0" w:hanging="0"/>
        <w:jc w:val="both"/>
        <w:outlineLvl w:val="0"/>
        <w:rPr>
          <w:rFonts w:ascii="Times New Roman" w:hAnsi="Times New Roman"/>
          <w:lang w:val="uk-UA"/>
        </w:rPr>
      </w:pPr>
      <w:r>
        <w:rPr>
          <w:rFonts w:eastAsia="Times New Roman" w:cs="Times New Roman" w:ascii="Times New Roman" w:hAnsi="Times New Roman"/>
          <w:b w:val="false"/>
          <w:bCs w:val="false"/>
          <w:color w:val="000000"/>
          <w:kern w:val="0"/>
          <w:sz w:val="24"/>
          <w:szCs w:val="24"/>
          <w:lang w:val="uk-UA" w:eastAsia="ar-SA" w:bidi="ar-SA"/>
        </w:rPr>
        <w:t>6</w:t>
      </w:r>
      <w:r>
        <w:rPr>
          <w:rFonts w:eastAsia="Times New Roman" w:cs="Times New Roman" w:ascii="Times New Roman" w:hAnsi="Times New Roman"/>
          <w:b w:val="false"/>
          <w:bCs w:val="false"/>
          <w:color w:val="000000"/>
          <w:kern w:val="0"/>
          <w:sz w:val="24"/>
          <w:szCs w:val="24"/>
          <w:lang w:val="uk-UA" w:eastAsia="ar-SA" w:bidi="ar-SA"/>
        </w:rPr>
        <w:t xml:space="preserve">. Строк надання послуг: </w:t>
      </w:r>
      <w:r>
        <w:rPr>
          <w:rFonts w:eastAsia="Times New Roman" w:cs="Times New Roman" w:ascii="Times New Roman" w:hAnsi="Times New Roman"/>
          <w:b/>
          <w:bCs/>
          <w:color w:val="000000"/>
          <w:kern w:val="0"/>
          <w:sz w:val="24"/>
          <w:szCs w:val="24"/>
          <w:lang w:val="uk-UA" w:eastAsia="ar-SA" w:bidi="ar-SA"/>
        </w:rPr>
        <w:t>до 31.12.202</w:t>
      </w:r>
      <w:r>
        <w:rPr>
          <w:rFonts w:eastAsia="Times New Roman" w:cs="Times New Roman" w:ascii="Times New Roman" w:hAnsi="Times New Roman"/>
          <w:b/>
          <w:bCs/>
          <w:color w:val="000000"/>
          <w:kern w:val="0"/>
          <w:sz w:val="24"/>
          <w:szCs w:val="24"/>
          <w:lang w:val="uk-UA" w:eastAsia="ar-SA" w:bidi="ar-SA"/>
        </w:rPr>
        <w:t>3</w:t>
      </w:r>
      <w:r>
        <w:rPr>
          <w:rFonts w:eastAsia="Times New Roman" w:cs="Times New Roman" w:ascii="Times New Roman" w:hAnsi="Times New Roman"/>
          <w:b/>
          <w:bCs/>
          <w:color w:val="000000"/>
          <w:kern w:val="0"/>
          <w:sz w:val="24"/>
          <w:szCs w:val="24"/>
          <w:lang w:val="uk-UA" w:eastAsia="ar-SA" w:bidi="ar-SA"/>
        </w:rPr>
        <w:t xml:space="preserve"> р.</w:t>
      </w:r>
    </w:p>
    <w:p>
      <w:pPr>
        <w:pStyle w:val="Normal"/>
        <w:spacing w:lineRule="auto" w:line="360" w:before="0" w:after="0"/>
        <w:jc w:val="both"/>
        <w:rPr>
          <w:lang w:val="uk-UA"/>
        </w:rPr>
      </w:pPr>
      <w:r>
        <w:rPr>
          <w:rFonts w:ascii="Times New Roman" w:hAnsi="Times New Roman"/>
          <w:b w:val="false"/>
          <w:bCs w:val="false"/>
          <w:sz w:val="24"/>
          <w:szCs w:val="24"/>
          <w:lang w:val="uk-UA" w:eastAsia="ru-RU"/>
        </w:rPr>
        <w:t>7</w:t>
      </w:r>
      <w:r>
        <w:rPr>
          <w:rFonts w:ascii="Times New Roman" w:hAnsi="Times New Roman"/>
          <w:b w:val="false"/>
          <w:bCs w:val="false"/>
          <w:sz w:val="24"/>
          <w:szCs w:val="24"/>
          <w:lang w:val="uk-UA" w:eastAsia="ru-RU"/>
        </w:rPr>
        <w:t xml:space="preserve">.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w:t>
      </w:r>
      <w:r>
        <w:rPr>
          <w:rFonts w:eastAsia="Times New Roman" w:ascii="Times New Roman" w:hAnsi="Times New Roman"/>
          <w:b/>
          <w:bCs/>
          <w:color w:val="00000A"/>
          <w:sz w:val="24"/>
          <w:szCs w:val="24"/>
          <w:lang w:val="uk-UA" w:eastAsia="ru-RU"/>
        </w:rPr>
        <w:t xml:space="preserve">процедури закупівлі </w:t>
      </w:r>
      <w:r>
        <w:rPr>
          <w:rFonts w:eastAsia="Times New Roman" w:ascii="Times New Roman" w:hAnsi="Times New Roman"/>
          <w:b/>
          <w:bCs/>
          <w:color w:val="00000A"/>
          <w:sz w:val="24"/>
          <w:szCs w:val="24"/>
          <w:lang w:val="uk-UA" w:eastAsia="uk-UA"/>
        </w:rPr>
        <w:t xml:space="preserve">як частину своєї тендерної пропозиції для підтвердження прийнятності та відповідності </w:t>
      </w:r>
      <w:r>
        <w:rPr>
          <w:rFonts w:eastAsia="Times New Roman" w:ascii="Times New Roman" w:hAnsi="Times New Roman"/>
          <w:b/>
          <w:bCs/>
          <w:color w:val="00000A"/>
          <w:sz w:val="24"/>
          <w:szCs w:val="24"/>
          <w:lang w:val="uk-UA" w:eastAsia="uk-UA"/>
        </w:rPr>
        <w:t>предме</w:t>
      </w:r>
      <w:r>
        <w:rPr>
          <w:rFonts w:eastAsia="Times New Roman" w:ascii="Times New Roman" w:hAnsi="Times New Roman"/>
          <w:b/>
          <w:bCs/>
          <w:color w:val="00000A"/>
          <w:sz w:val="24"/>
          <w:szCs w:val="24"/>
          <w:lang w:val="uk-UA" w:eastAsia="uk-UA"/>
        </w:rPr>
        <w:t>ту за</w:t>
      </w:r>
      <w:r>
        <w:rPr>
          <w:rFonts w:eastAsia="Times New Roman" w:ascii="Times New Roman" w:hAnsi="Times New Roman"/>
          <w:b/>
          <w:bCs/>
          <w:color w:val="00000A"/>
          <w:sz w:val="24"/>
          <w:szCs w:val="24"/>
          <w:lang w:val="uk-UA" w:eastAsia="uk-UA"/>
        </w:rPr>
        <w:t xml:space="preserve">купівлі </w:t>
      </w:r>
      <w:r>
        <w:rPr>
          <w:rFonts w:eastAsia="Times New Roman" w:ascii="Times New Roman" w:hAnsi="Times New Roman"/>
          <w:b/>
          <w:bCs/>
          <w:color w:val="00000A"/>
          <w:sz w:val="24"/>
          <w:szCs w:val="24"/>
          <w:lang w:val="uk-UA" w:eastAsia="uk-UA"/>
        </w:rPr>
        <w:t xml:space="preserve">запропонованих ним </w:t>
      </w:r>
      <w:r>
        <w:rPr>
          <w:rFonts w:eastAsia="Times New Roman" w:ascii="Times New Roman" w:hAnsi="Times New Roman"/>
          <w:b/>
          <w:bCs/>
          <w:color w:val="00000A"/>
          <w:sz w:val="24"/>
          <w:szCs w:val="24"/>
          <w:lang w:val="uk-UA" w:eastAsia="uk-UA"/>
        </w:rPr>
        <w:t>послуг</w:t>
      </w:r>
      <w:r>
        <w:rPr>
          <w:rFonts w:eastAsia="Times New Roman" w:ascii="Times New Roman" w:hAnsi="Times New Roman"/>
          <w:b/>
          <w:bCs/>
          <w:color w:val="00000A"/>
          <w:sz w:val="24"/>
          <w:szCs w:val="24"/>
          <w:lang w:val="uk-UA" w:eastAsia="uk-UA"/>
        </w:rPr>
        <w:t>:</w:t>
      </w:r>
    </w:p>
    <w:p>
      <w:pPr>
        <w:pStyle w:val="Normal"/>
        <w:widowControl/>
        <w:numPr>
          <w:ilvl w:val="0"/>
          <w:numId w:val="0"/>
        </w:numPr>
        <w:shd w:fill="FFFFFF" w:val="clear"/>
        <w:suppressAutoHyphens w:val="true"/>
        <w:bidi w:val="0"/>
        <w:spacing w:lineRule="auto" w:line="360" w:before="0" w:after="0"/>
        <w:ind w:left="0" w:right="0" w:hanging="0"/>
        <w:jc w:val="both"/>
        <w:outlineLvl w:val="0"/>
        <w:rPr>
          <w:rFonts w:ascii="Times New Roman" w:hAnsi="Times New Roman"/>
          <w:lang w:val="uk-UA"/>
        </w:rPr>
      </w:pPr>
      <w:r>
        <w:rPr>
          <w:rFonts w:eastAsia="Times New Roman" w:cs="Times New Roman" w:ascii="Times New Roman" w:hAnsi="Times New Roman"/>
          <w:b w:val="false"/>
          <w:bCs w:val="false"/>
          <w:i w:val="false"/>
          <w:iCs w:val="false"/>
          <w:color w:val="auto"/>
          <w:kern w:val="0"/>
          <w:sz w:val="24"/>
          <w:szCs w:val="24"/>
          <w:u w:val="none"/>
          <w:lang w:val="uk-UA" w:eastAsia="uk-UA" w:bidi="ar-SA"/>
        </w:rPr>
        <w:t>7</w:t>
      </w:r>
      <w:r>
        <w:rPr>
          <w:rFonts w:eastAsia="Times New Roman" w:cs="Times New Roman" w:ascii="Times New Roman" w:hAnsi="Times New Roman"/>
          <w:b w:val="false"/>
          <w:bCs w:val="false"/>
          <w:i w:val="false"/>
          <w:iCs w:val="false"/>
          <w:color w:val="auto"/>
          <w:kern w:val="0"/>
          <w:sz w:val="24"/>
          <w:szCs w:val="24"/>
          <w:u w:val="none"/>
          <w:lang w:val="uk-UA" w:eastAsia="uk-UA" w:bidi="ar-SA"/>
        </w:rPr>
        <w:t>.1. І</w:t>
      </w: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нформаційну довідку </w:t>
      </w:r>
      <w:r>
        <w:rPr>
          <w:rFonts w:eastAsia="Times New Roman" w:cs="Times New Roman" w:ascii="Times New Roman" w:hAnsi="Times New Roman"/>
          <w:b w:val="false"/>
          <w:bCs w:val="false"/>
          <w:i w:val="false"/>
          <w:iCs w:val="false"/>
          <w:color w:val="auto"/>
          <w:kern w:val="0"/>
          <w:sz w:val="24"/>
          <w:szCs w:val="24"/>
          <w:u w:val="none"/>
          <w:lang w:val="uk-UA" w:eastAsia="uk-UA" w:bidi="ar-SA"/>
        </w:rPr>
        <w:t>(в довільній формі) від учасника процедури закупівлі,</w:t>
      </w: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 яка містить </w:t>
      </w:r>
      <w:r>
        <w:rPr>
          <w:rFonts w:eastAsia="Times New Roman" w:cs="Times New Roman" w:ascii="Times New Roman" w:hAnsi="Times New Roman"/>
          <w:b w:val="false"/>
          <w:bCs w:val="false"/>
          <w:i w:val="false"/>
          <w:iCs w:val="false"/>
          <w:color w:val="auto"/>
          <w:kern w:val="0"/>
          <w:sz w:val="24"/>
          <w:szCs w:val="24"/>
          <w:u w:val="none"/>
          <w:lang w:val="uk-UA" w:eastAsia="ru-RU" w:bidi="ar-SA"/>
        </w:rPr>
        <w:t>інформацію, що</w:t>
      </w: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 підтвердж</w:t>
      </w:r>
      <w:r>
        <w:rPr>
          <w:rFonts w:eastAsia="Times New Roman" w:cs="Times New Roman" w:ascii="Times New Roman" w:hAnsi="Times New Roman"/>
          <w:b w:val="false"/>
          <w:bCs w:val="false"/>
          <w:i w:val="false"/>
          <w:iCs w:val="false"/>
          <w:color w:val="auto"/>
          <w:kern w:val="0"/>
          <w:sz w:val="24"/>
          <w:szCs w:val="24"/>
          <w:u w:val="none"/>
          <w:lang w:val="uk-UA" w:eastAsia="ru-RU" w:bidi="ar-SA"/>
        </w:rPr>
        <w:t>ує</w:t>
      </w: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 відповідн</w:t>
      </w:r>
      <w:r>
        <w:rPr>
          <w:rFonts w:eastAsia="Times New Roman" w:cs="Times New Roman" w:ascii="Times New Roman" w:hAnsi="Times New Roman"/>
          <w:b w:val="false"/>
          <w:bCs w:val="false"/>
          <w:i w:val="false"/>
          <w:iCs w:val="false"/>
          <w:color w:val="auto"/>
          <w:kern w:val="0"/>
          <w:sz w:val="24"/>
          <w:szCs w:val="24"/>
          <w:u w:val="none"/>
          <w:lang w:val="uk-UA" w:eastAsia="ru-RU" w:bidi="ar-SA"/>
        </w:rPr>
        <w:t>ість</w:t>
      </w: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kern w:val="0"/>
          <w:sz w:val="24"/>
          <w:szCs w:val="24"/>
          <w:u w:val="none"/>
          <w:lang w:val="uk-UA" w:eastAsia="ru-RU" w:bidi="ar-SA"/>
        </w:rPr>
        <w:t>.</w:t>
      </w:r>
    </w:p>
    <w:p>
      <w:pPr>
        <w:pStyle w:val="Normal"/>
        <w:widowControl w:val="false"/>
        <w:autoSpaceDE w:val="false"/>
        <w:spacing w:lineRule="auto" w:line="360" w:before="0" w:after="0"/>
        <w:jc w:val="both"/>
        <w:rPr>
          <w:rFonts w:ascii="Times New Roman" w:hAnsi="Times New Roman"/>
          <w:lang w:val="uk-UA"/>
        </w:rPr>
      </w:pPr>
      <w:r>
        <w:rPr>
          <w:rFonts w:eastAsia="Times New Roman" w:cs="Times New Roman" w:ascii="Times New Roman" w:hAnsi="Times New Roman"/>
          <w:b w:val="false"/>
          <w:bCs w:val="false"/>
          <w:i w:val="false"/>
          <w:iCs w:val="false"/>
          <w:color w:val="000000"/>
          <w:kern w:val="0"/>
          <w:sz w:val="24"/>
          <w:szCs w:val="24"/>
          <w:shd w:fill="FFFFFF" w:val="clear"/>
          <w:lang w:val="uk-UA" w:eastAsia="ar-SA" w:bidi="ar-SA"/>
        </w:rPr>
        <w:t>7</w:t>
      </w:r>
      <w:r>
        <w:rPr>
          <w:rFonts w:eastAsia="Times New Roman" w:cs="Times New Roman" w:ascii="Times New Roman" w:hAnsi="Times New Roman"/>
          <w:b w:val="false"/>
          <w:bCs w:val="false"/>
          <w:i w:val="false"/>
          <w:iCs w:val="false"/>
          <w:color w:val="000000"/>
          <w:kern w:val="0"/>
          <w:sz w:val="24"/>
          <w:szCs w:val="24"/>
          <w:shd w:fill="FFFFFF" w:val="clear"/>
          <w:lang w:val="uk-UA" w:eastAsia="zh-CN" w:bidi="ar-SA"/>
        </w:rPr>
        <w:t>.2</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 </w:t>
      </w:r>
      <w:r>
        <w:rPr>
          <w:rFonts w:eastAsia="Times New Roman" w:cs="Times New Roman" w:ascii="Times New Roman" w:hAnsi="Times New Roman"/>
          <w:b w:val="false"/>
          <w:bCs w:val="false"/>
          <w:i w:val="false"/>
          <w:iCs w:val="false"/>
          <w:color w:val="000000"/>
          <w:kern w:val="0"/>
          <w:sz w:val="24"/>
          <w:szCs w:val="24"/>
          <w:shd w:fill="FFFFFF" w:val="clear"/>
          <w:lang w:val="uk-UA" w:eastAsia="zh-CN" w:bidi="ar-SA"/>
        </w:rPr>
        <w:t>Г</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арантійний лист в довільній формі про те, що Виконавець гарантує нада</w:t>
      </w:r>
      <w:r>
        <w:rPr>
          <w:rFonts w:eastAsia="Times New Roman" w:cs="Times New Roman" w:ascii="Times New Roman" w:hAnsi="Times New Roman"/>
          <w:b w:val="false"/>
          <w:bCs w:val="false"/>
          <w:i w:val="false"/>
          <w:iCs w:val="false"/>
          <w:color w:val="000000"/>
          <w:kern w:val="0"/>
          <w:sz w:val="24"/>
          <w:szCs w:val="24"/>
          <w:shd w:fill="FFFFFF" w:val="clear"/>
          <w:lang w:val="uk-UA" w:eastAsia="zh-CN" w:bidi="ar-SA"/>
        </w:rPr>
        <w:t>ння</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 послуг, </w:t>
      </w:r>
      <w:r>
        <w:rPr>
          <w:rFonts w:eastAsia="Times New Roman" w:cs="Times New Roman" w:ascii="Times New Roman" w:hAnsi="Times New Roman"/>
          <w:b w:val="false"/>
          <w:bCs w:val="false"/>
          <w:i w:val="false"/>
          <w:iCs w:val="false"/>
          <w:color w:val="000000"/>
          <w:kern w:val="0"/>
          <w:sz w:val="24"/>
          <w:szCs w:val="24"/>
          <w:shd w:fill="FFFFFF" w:val="clear"/>
          <w:lang w:val="uk-UA" w:eastAsia="ar-SA" w:bidi="ar-SA"/>
        </w:rPr>
        <w:t>якість яких відповідає умовам та вимогам чинного законодавства, нормативно-правовим актам, медико-технічним вимогам, у т. ч. з дотримання вимог санітарних норм та охорони здоров'я працівників, захисту довкілля та навколишнього середовища.</w:t>
      </w:r>
    </w:p>
    <w:p>
      <w:pPr>
        <w:pStyle w:val="Normal"/>
        <w:widowControl w:val="false"/>
        <w:shd w:fill="FFFFFF" w:val="clear"/>
        <w:suppressAutoHyphens w:val="true"/>
        <w:spacing w:lineRule="auto" w:line="360" w:before="0" w:after="0"/>
        <w:ind w:left="0" w:right="0" w:hanging="0"/>
        <w:jc w:val="both"/>
        <w:rPr>
          <w:lang w:val="uk-UA"/>
        </w:rPr>
      </w:pPr>
      <w:r>
        <w:rPr>
          <w:rFonts w:eastAsia="Times New Roman" w:cs="Times New Roman" w:ascii="Times New Roman" w:hAnsi="Times New Roman"/>
          <w:b w:val="false"/>
          <w:bCs w:val="false"/>
          <w:i w:val="false"/>
          <w:iCs w:val="false"/>
          <w:color w:val="auto"/>
          <w:sz w:val="24"/>
          <w:szCs w:val="24"/>
          <w:u w:val="none"/>
          <w:lang w:val="uk-UA" w:eastAsia="ar-SA" w:bidi="ar-SA"/>
        </w:rPr>
        <w:t>7</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.3. </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Гарантійний лист від учасника процедури закупівлі, у якому має бути зазначено,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bCs w:val="false"/>
          <w:i w:val="false"/>
          <w:iCs w:val="false"/>
          <w:color w:val="auto"/>
          <w:sz w:val="24"/>
          <w:szCs w:val="24"/>
          <w:u w:val="none"/>
          <w:lang w:val="uk-UA" w:eastAsia="ar-SA" w:bidi="ar-SA"/>
        </w:rPr>
        <w:t>та/</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або </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не </w:t>
      </w:r>
      <w:r>
        <w:rPr>
          <w:rFonts w:eastAsia="Times New Roman" w:cs="Times New Roman" w:ascii="Times New Roman" w:hAnsi="Times New Roman"/>
          <w:b w:val="false"/>
          <w:bCs w:val="false"/>
          <w:i w:val="false"/>
          <w:iCs w:val="false"/>
          <w:color w:val="auto"/>
          <w:sz w:val="24"/>
          <w:szCs w:val="24"/>
          <w:u w:val="none"/>
          <w:lang w:val="uk-UA" w:eastAsia="ar-SA" w:bidi="ar-SA"/>
        </w:rPr>
        <w:t>пропонує в тендерній пропозиції товари походженням з Російської Федерації/Республіки Білорусь.</w:t>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auto"/>
          <w:spacing w:val="0"/>
          <w:sz w:val="24"/>
          <w:szCs w:val="24"/>
          <w:u w:val="none"/>
          <w:lang w:eastAsia="ar-SA" w:bidi="ar-SA"/>
        </w:rPr>
      </w:pPr>
      <w:r>
        <w:rPr>
          <w:lang w:val="uk-UA"/>
        </w:rPr>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2">
    <w:name w:val="Heading 2"/>
    <w:basedOn w:val="Normal"/>
    <w:qFormat/>
    <w:pPr>
      <w:numPr>
        <w:ilvl w:val="0"/>
        <w:numId w:val="0"/>
      </w:numPr>
      <w:spacing w:before="280" w:after="280"/>
      <w:outlineLvl w:val="1"/>
    </w:pPr>
    <w:rPr>
      <w:b/>
      <w:bCs/>
      <w:sz w:val="36"/>
      <w:szCs w:val="36"/>
    </w:rPr>
  </w:style>
  <w:style w:type="paragraph" w:styleId="3">
    <w:name w:val="Heading 3"/>
    <w:basedOn w:val="Style16"/>
    <w:qFormat/>
    <w:pPr/>
    <w:rPr/>
  </w:style>
  <w:style w:type="character" w:styleId="Style11">
    <w:name w:val="Маркери"/>
    <w:qFormat/>
    <w:rPr>
      <w:rFonts w:ascii="OpenSymbol" w:hAnsi="OpenSymbol" w:eastAsia="OpenSymbol" w:cs="OpenSymbol"/>
    </w:rPr>
  </w:style>
  <w:style w:type="character" w:styleId="Style12">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Style13">
    <w:name w:val="Emphasis"/>
    <w:basedOn w:val="DefaultParagraphFont"/>
    <w:qFormat/>
    <w:rPr>
      <w:i/>
      <w:iCs/>
    </w:rPr>
  </w:style>
  <w:style w:type="character" w:styleId="Strong">
    <w:name w:val="Strong"/>
    <w:basedOn w:val="DefaultParagraphFont"/>
    <w:qFormat/>
    <w:rPr>
      <w:b/>
      <w:bCs/>
    </w:rPr>
  </w:style>
  <w:style w:type="character" w:styleId="Style14">
    <w:name w:val="Символ нумерації"/>
    <w:qFormat/>
    <w:rPr/>
  </w:style>
  <w:style w:type="character" w:styleId="Hps">
    <w:name w:val="hps"/>
    <w:qFormat/>
    <w:rPr/>
  </w:style>
  <w:style w:type="character" w:styleId="Style15">
    <w:name w:val="Основной шрифт абзаца"/>
    <w:qFormat/>
    <w:rPr/>
  </w:style>
  <w:style w:type="character" w:styleId="D-none">
    <w:name w:val="d-none"/>
    <w:basedOn w:val="Style15"/>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character" w:styleId="WW8Num8z0">
    <w:name w:val="WW8Num8z0"/>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6z0">
    <w:name w:val="WW8Num6z0"/>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Style21">
    <w:name w:val="Вміст таблиці"/>
    <w:basedOn w:val="Normal"/>
    <w:qFormat/>
    <w:pPr>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left="720" w:right="0" w:hanging="0"/>
      <w:contextualSpacing/>
    </w:pPr>
    <w:rPr/>
  </w:style>
  <w:style w:type="paragraph" w:styleId="11">
    <w:name w:val="Îáû÷íûé1"/>
    <w:qFormat/>
    <w:pPr>
      <w:widowControl/>
      <w:suppressAutoHyphens w:val="true"/>
      <w:kinsoku w:val="true"/>
      <w:overflowPunct w:val="true"/>
      <w:autoSpaceDE w:val="tru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Style24">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2">
    <w:name w:val="Обычный1"/>
    <w:qFormat/>
    <w:pPr>
      <w:widowControl/>
      <w:suppressAutoHyphens w:val="true"/>
      <w:kinsoku w:val="true"/>
      <w:overflowPunct w:val="false"/>
      <w:autoSpaceDE w:val="tru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25">
    <w:name w:val="Заголовок таблиці"/>
    <w:basedOn w:val="Style21"/>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Style26">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7">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 w:type="numbering" w:styleId="WW8Num8">
    <w:name w:val="WW8Num8"/>
    <w:qFormat/>
  </w:style>
  <w:style w:type="numbering" w:styleId="WW8Num6">
    <w:name w:val="WW8Num6"/>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3</Pages>
  <Words>719</Words>
  <Characters>5083</Characters>
  <CharactersWithSpaces>5780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cp:revision>1</cp:revision>
  <dc:subject/>
  <dc:title/>
</cp:coreProperties>
</file>