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524AAA">
        <w:rPr>
          <w:rFonts w:ascii="Times New Roman" w:eastAsia="Arial" w:hAnsi="Times New Roman" w:cs="Times New Roman"/>
          <w:bCs/>
          <w:color w:val="000000" w:themeColor="text1"/>
          <w:sz w:val="20"/>
          <w:szCs w:val="20"/>
          <w:lang w:eastAsia="ar-SA"/>
        </w:rPr>
        <w:t>12</w:t>
      </w:r>
      <w:r w:rsidR="00681C6A">
        <w:rPr>
          <w:rFonts w:ascii="Times New Roman" w:eastAsia="Arial" w:hAnsi="Times New Roman" w:cs="Times New Roman"/>
          <w:bCs/>
          <w:color w:val="000000" w:themeColor="text1"/>
          <w:sz w:val="20"/>
          <w:szCs w:val="20"/>
          <w:lang w:eastAsia="ar-SA"/>
        </w:rPr>
        <w:t xml:space="preserve">» </w:t>
      </w:r>
      <w:r w:rsidR="00524AA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proofErr w:type="spellStart"/>
      <w:r w:rsidRPr="00793F83">
        <w:rPr>
          <w:rFonts w:ascii="Times New Roman" w:hAnsi="Times New Roman" w:cs="Times New Roman"/>
          <w:bCs/>
          <w:i/>
          <w:lang w:eastAsia="en-US"/>
        </w:rPr>
        <w:t>Зрайло</w:t>
      </w:r>
      <w:proofErr w:type="spellEnd"/>
      <w:r w:rsidRPr="00793F83">
        <w:rPr>
          <w:rFonts w:ascii="Times New Roman" w:hAnsi="Times New Roman" w:cs="Times New Roman"/>
          <w:bCs/>
          <w:i/>
          <w:lang w:eastAsia="en-US"/>
        </w:rPr>
        <w:t xml:space="preserve">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C480A" w:rsidRPr="00B96A60" w:rsidRDefault="008C08AD" w:rsidP="00681C6A">
      <w:pPr>
        <w:spacing w:after="0" w:line="240" w:lineRule="auto"/>
        <w:jc w:val="center"/>
        <w:rPr>
          <w:rFonts w:ascii="Times New Roman" w:eastAsiaTheme="minorEastAsia" w:hAnsi="Times New Roman" w:cs="Times New Roman"/>
          <w:b/>
          <w:sz w:val="48"/>
          <w:szCs w:val="48"/>
        </w:rPr>
      </w:pPr>
      <w:r w:rsidRPr="008C08AD">
        <w:rPr>
          <w:rFonts w:ascii="Times New Roman" w:eastAsiaTheme="minorEastAsia" w:hAnsi="Times New Roman" w:cs="Times New Roman"/>
          <w:b/>
          <w:sz w:val="48"/>
          <w:szCs w:val="48"/>
        </w:rPr>
        <w:t>П</w:t>
      </w:r>
      <w:r w:rsidR="00A44078">
        <w:rPr>
          <w:rFonts w:ascii="Times New Roman" w:eastAsiaTheme="minorEastAsia" w:hAnsi="Times New Roman" w:cs="Times New Roman"/>
          <w:b/>
          <w:sz w:val="48"/>
          <w:szCs w:val="48"/>
        </w:rPr>
        <w:t>а</w:t>
      </w:r>
      <w:r w:rsidRPr="008C08AD">
        <w:rPr>
          <w:rFonts w:ascii="Times New Roman" w:eastAsiaTheme="minorEastAsia" w:hAnsi="Times New Roman" w:cs="Times New Roman"/>
          <w:b/>
          <w:sz w:val="48"/>
          <w:szCs w:val="48"/>
        </w:rPr>
        <w:t>ке</w:t>
      </w:r>
      <w:r>
        <w:rPr>
          <w:rFonts w:ascii="Times New Roman" w:eastAsiaTheme="minorEastAsia" w:hAnsi="Times New Roman" w:cs="Times New Roman"/>
          <w:b/>
          <w:sz w:val="48"/>
          <w:szCs w:val="48"/>
        </w:rPr>
        <w:t>ти для збору медичних відходів</w:t>
      </w:r>
      <w:r w:rsidR="002B00D6" w:rsidRPr="002B00D6">
        <w:rPr>
          <w:rFonts w:ascii="Times New Roman" w:hAnsi="Times New Roman" w:cs="Times New Roman"/>
          <w:b/>
          <w:sz w:val="48"/>
          <w:szCs w:val="48"/>
        </w:rPr>
        <w:t xml:space="preserve"> </w:t>
      </w:r>
      <w:r w:rsidR="002B00D6" w:rsidRPr="002B00D6">
        <w:rPr>
          <w:rFonts w:ascii="Times New Roman" w:eastAsiaTheme="minorEastAsia" w:hAnsi="Times New Roman" w:cs="Times New Roman"/>
          <w:b/>
          <w:sz w:val="48"/>
          <w:szCs w:val="48"/>
        </w:rPr>
        <w:t xml:space="preserve">(Код </w:t>
      </w:r>
      <w:proofErr w:type="spellStart"/>
      <w:r w:rsidR="002B00D6" w:rsidRPr="002B00D6">
        <w:rPr>
          <w:rFonts w:ascii="Times New Roman" w:eastAsiaTheme="minorEastAsia" w:hAnsi="Times New Roman" w:cs="Times New Roman"/>
          <w:b/>
          <w:sz w:val="48"/>
          <w:szCs w:val="48"/>
        </w:rPr>
        <w:t>ДК</w:t>
      </w:r>
      <w:proofErr w:type="spellEnd"/>
      <w:r w:rsidR="002B00D6" w:rsidRPr="002B00D6">
        <w:rPr>
          <w:rFonts w:ascii="Times New Roman" w:eastAsiaTheme="minorEastAsia" w:hAnsi="Times New Roman" w:cs="Times New Roman"/>
          <w:b/>
          <w:sz w:val="48"/>
          <w:szCs w:val="48"/>
        </w:rPr>
        <w:t xml:space="preserve"> 021:2015: </w:t>
      </w:r>
      <w:r w:rsidRPr="008C08AD">
        <w:rPr>
          <w:rFonts w:ascii="Times New Roman" w:eastAsiaTheme="minorEastAsia" w:hAnsi="Times New Roman" w:cs="Times New Roman"/>
          <w:b/>
          <w:sz w:val="48"/>
          <w:szCs w:val="48"/>
        </w:rPr>
        <w:t>19640000-4 — Поліетиленові мішки та пакети для сміття</w:t>
      </w:r>
      <w:r w:rsidR="002B00D6" w:rsidRPr="002B00D6">
        <w:rPr>
          <w:rFonts w:ascii="Times New Roman" w:eastAsiaTheme="minorEastAsia" w:hAnsi="Times New Roman" w:cs="Times New Roman"/>
          <w:b/>
          <w:sz w:val="48"/>
          <w:szCs w:val="48"/>
        </w:rPr>
        <w:t>)</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3419C6" w:rsidRDefault="003419C6" w:rsidP="005332FB">
      <w:pPr>
        <w:spacing w:after="0" w:line="240" w:lineRule="auto"/>
        <w:jc w:val="both"/>
        <w:rPr>
          <w:rFonts w:ascii="Times New Roman" w:hAnsi="Times New Roman" w:cs="Times New Roman"/>
        </w:rPr>
      </w:pPr>
    </w:p>
    <w:p w:rsidR="008C08AD" w:rsidRDefault="008C08AD" w:rsidP="005332FB">
      <w:pPr>
        <w:spacing w:after="0" w:line="240" w:lineRule="auto"/>
        <w:jc w:val="both"/>
        <w:rPr>
          <w:rFonts w:ascii="Times New Roman" w:hAnsi="Times New Roman" w:cs="Times New Roman"/>
        </w:rPr>
      </w:pPr>
    </w:p>
    <w:p w:rsidR="008C08AD" w:rsidRDefault="008C08AD" w:rsidP="005332FB">
      <w:pPr>
        <w:spacing w:after="0" w:line="240" w:lineRule="auto"/>
        <w:jc w:val="both"/>
        <w:rPr>
          <w:rFonts w:ascii="Times New Roman" w:hAnsi="Times New Roman" w:cs="Times New Roman"/>
        </w:rPr>
      </w:pPr>
    </w:p>
    <w:p w:rsidR="00332FC8" w:rsidRDefault="00332FC8"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proofErr w:type="spellStart"/>
            <w:r>
              <w:rPr>
                <w:rFonts w:ascii="Times New Roman" w:hAnsi="Times New Roman" w:cs="Times New Roman"/>
                <w:bCs/>
                <w:lang w:eastAsia="en-US"/>
              </w:rPr>
              <w:t>Зрайло</w:t>
            </w:r>
            <w:proofErr w:type="spellEnd"/>
            <w:r>
              <w:rPr>
                <w:rFonts w:ascii="Times New Roman" w:hAnsi="Times New Roman" w:cs="Times New Roman"/>
                <w:bCs/>
                <w:lang w:eastAsia="en-US"/>
              </w:rPr>
              <w:t xml:space="preserve">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341614" w:rsidRDefault="009C2028" w:rsidP="00A44078">
            <w:pPr>
              <w:ind w:firstLine="6"/>
              <w:jc w:val="both"/>
              <w:rPr>
                <w:rFonts w:ascii="Times New Roman" w:hAnsi="Times New Roman" w:cs="Times New Roman"/>
                <w:b/>
              </w:rPr>
            </w:pPr>
            <w:r w:rsidRPr="009C2028">
              <w:rPr>
                <w:rFonts w:ascii="Times New Roman" w:hAnsi="Times New Roman" w:cs="Times New Roman"/>
                <w:b/>
              </w:rPr>
              <w:t>П</w:t>
            </w:r>
            <w:r w:rsidR="00A44078">
              <w:rPr>
                <w:rFonts w:ascii="Times New Roman" w:hAnsi="Times New Roman" w:cs="Times New Roman"/>
                <w:b/>
              </w:rPr>
              <w:t>а</w:t>
            </w:r>
            <w:r w:rsidRPr="009C2028">
              <w:rPr>
                <w:rFonts w:ascii="Times New Roman" w:hAnsi="Times New Roman" w:cs="Times New Roman"/>
                <w:b/>
              </w:rPr>
              <w:t xml:space="preserve">кети для збору медичних відходів (Код </w:t>
            </w:r>
            <w:proofErr w:type="spellStart"/>
            <w:r w:rsidRPr="009C2028">
              <w:rPr>
                <w:rFonts w:ascii="Times New Roman" w:hAnsi="Times New Roman" w:cs="Times New Roman"/>
                <w:b/>
              </w:rPr>
              <w:t>ДК</w:t>
            </w:r>
            <w:proofErr w:type="spellEnd"/>
            <w:r w:rsidRPr="009C2028">
              <w:rPr>
                <w:rFonts w:ascii="Times New Roman" w:hAnsi="Times New Roman" w:cs="Times New Roman"/>
                <w:b/>
              </w:rPr>
              <w:t xml:space="preserve"> 021:2015: 19640000-4 — Поліетиленові мішки та пакети для сміття)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w:t>
            </w:r>
            <w:proofErr w:type="spellStart"/>
            <w:r w:rsidR="007C1D48">
              <w:rPr>
                <w:rFonts w:ascii="Times New Roman" w:eastAsia="Times New Roman" w:hAnsi="Times New Roman" w:cs="Times New Roman"/>
                <w:lang w:val="en-US"/>
              </w:rPr>
              <w:t>вул</w:t>
            </w:r>
            <w:proofErr w:type="spellEnd"/>
            <w:r w:rsidR="007C1D48">
              <w:rPr>
                <w:rFonts w:ascii="Times New Roman" w:eastAsia="Times New Roman" w:hAnsi="Times New Roman" w:cs="Times New Roman"/>
                <w:lang w:val="en-US"/>
              </w:rPr>
              <w:t xml:space="preserve">. </w:t>
            </w:r>
            <w:r w:rsidR="007C1D48">
              <w:rPr>
                <w:rFonts w:ascii="Times New Roman" w:eastAsia="Times New Roman" w:hAnsi="Times New Roman" w:cs="Times New Roman"/>
              </w:rPr>
              <w:t>Дрогобицька, 50, вул. І. Франка, 8.</w:t>
            </w:r>
          </w:p>
          <w:p w:rsidR="007B625A" w:rsidRPr="00827E50" w:rsidRDefault="00FC1896" w:rsidP="00D96BE7">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D96BE7">
              <w:rPr>
                <w:rFonts w:ascii="Times New Roman" w:hAnsi="Times New Roman" w:cs="Times New Roman"/>
                <w:b/>
              </w:rPr>
              <w:t>2</w:t>
            </w:r>
            <w:r w:rsidR="00AF72A5" w:rsidRPr="000C01C7">
              <w:rPr>
                <w:rFonts w:ascii="Times New Roman" w:hAnsi="Times New Roman" w:cs="Times New Roman"/>
                <w:b/>
              </w:rPr>
              <w:t xml:space="preserve"> найменуван</w:t>
            </w:r>
            <w:r w:rsidR="00D96BE7">
              <w:rPr>
                <w:rFonts w:ascii="Times New Roman" w:hAnsi="Times New Roman" w:cs="Times New Roman"/>
                <w:b/>
              </w:rPr>
              <w:t>ня</w:t>
            </w:r>
            <w:r w:rsidR="00AF72A5" w:rsidRPr="000C01C7">
              <w:rPr>
                <w:rFonts w:ascii="Times New Roman" w:hAnsi="Times New Roman" w:cs="Times New Roman"/>
              </w:rPr>
              <w:t xml:space="preserve"> </w:t>
            </w:r>
            <w:r w:rsidR="00AF72A5" w:rsidRPr="000C01C7">
              <w:rPr>
                <w:rFonts w:ascii="Times New Roman" w:eastAsia="Times New Roman" w:hAnsi="Times New Roman" w:cs="Times New Roman"/>
                <w:b/>
                <w:lang w:eastAsia="ru-RU"/>
              </w:rPr>
              <w:t>(</w:t>
            </w:r>
            <w:r w:rsidR="00D96BE7">
              <w:rPr>
                <w:rFonts w:ascii="Times New Roman" w:eastAsia="Times New Roman" w:hAnsi="Times New Roman" w:cs="Times New Roman"/>
                <w:b/>
                <w:lang w:eastAsia="ru-RU"/>
              </w:rPr>
              <w:t>2220</w:t>
            </w:r>
            <w:r w:rsidR="00A02DBB" w:rsidRPr="000C01C7">
              <w:rPr>
                <w:rFonts w:ascii="Times New Roman" w:eastAsia="Times New Roman" w:hAnsi="Times New Roman" w:cs="Times New Roman"/>
                <w:b/>
                <w:lang w:eastAsia="ru-RU"/>
              </w:rPr>
              <w:t xml:space="preserve"> </w:t>
            </w:r>
            <w:r w:rsidR="00AF72A5" w:rsidRPr="000C01C7">
              <w:rPr>
                <w:rFonts w:ascii="Times New Roman" w:eastAsia="Times New Roman" w:hAnsi="Times New Roman" w:cs="Times New Roman"/>
                <w:b/>
                <w:lang w:eastAsia="ru-RU"/>
              </w:rPr>
              <w:t>штуки).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462530">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w:t>
            </w:r>
            <w:r w:rsidRPr="00462530">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00000E31" w:rsidRPr="001E7CDA">
              <w:rPr>
                <w:rFonts w:ascii="Times New Roman" w:eastAsia="Times New Roman" w:hAnsi="Times New Roman" w:cs="Times New Roman"/>
              </w:rPr>
              <w:lastRenderedPageBreak/>
              <w:t>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lastRenderedPageBreak/>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005944B5" w:rsidRPr="005944B5">
              <w:rPr>
                <w:sz w:val="22"/>
                <w:szCs w:val="22"/>
              </w:rPr>
              <w:lastRenderedPageBreak/>
              <w:t>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210F9E">
              <w:rPr>
                <w:rFonts w:ascii="Times New Roman" w:eastAsia="Times New Roman" w:hAnsi="Times New Roman" w:cs="Times New Roman"/>
                <w:b/>
                <w:lang w:eastAsia="ru-RU"/>
              </w:rPr>
              <w:t>20</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210F9E">
              <w:rPr>
                <w:rFonts w:ascii="Times New Roman" w:eastAsia="Times New Roman" w:hAnsi="Times New Roman" w:cs="Times New Roman"/>
                <w:b/>
                <w:lang w:eastAsia="ru-RU"/>
              </w:rPr>
              <w:t>2</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xml:space="preserve">, </w:t>
            </w:r>
            <w:r w:rsidRPr="00C60659">
              <w:rPr>
                <w:color w:val="000000"/>
                <w:sz w:val="22"/>
                <w:szCs w:val="22"/>
                <w:lang w:eastAsia="ru-RU"/>
              </w:rPr>
              <w:lastRenderedPageBreak/>
              <w:t>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 xml:space="preserve">отримання учасником процедури закупівлі державної допомоги згідно із </w:t>
            </w:r>
            <w:r w:rsidRPr="001566F8">
              <w:rPr>
                <w:bCs/>
                <w:color w:val="000000"/>
                <w:sz w:val="22"/>
                <w:szCs w:val="22"/>
                <w:lang w:eastAsia="ru-RU"/>
              </w:rPr>
              <w:lastRenderedPageBreak/>
              <w:t>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BF7740">
              <w:rPr>
                <w:rFonts w:ascii="Times New Roman" w:eastAsia="Times New Roman" w:hAnsi="Times New Roman" w:cs="Times New Roman"/>
              </w:rPr>
              <w:t>З</w:t>
            </w:r>
            <w:r w:rsidR="00BF7740" w:rsidRPr="00BF7740">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Pr>
                <w:rFonts w:ascii="Times New Roman" w:eastAsia="Times New Roman" w:hAnsi="Times New Roman" w:cs="Times New Roman"/>
              </w:rPr>
              <w:t xml:space="preserve"> </w:t>
            </w:r>
            <w:r w:rsidR="009D49DE" w:rsidRPr="009D49DE">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w:t>
            </w:r>
            <w:r w:rsidR="00A04CFD" w:rsidRPr="00D56818">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w:t>
            </w:r>
            <w:r w:rsidRPr="00D56818">
              <w:rPr>
                <w:rFonts w:ascii="Times New Roman" w:eastAsia="Times New Roman" w:hAnsi="Times New Roman" w:cs="Times New Roman"/>
              </w:rPr>
              <w:lastRenderedPageBreak/>
              <w:t>ГКУ, як відмова від встановлення господарських відносин на майбутнє, не було застосовано.</w:t>
            </w:r>
          </w:p>
          <w:p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4F75D6">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Pr="004F75D6">
              <w:rPr>
                <w:sz w:val="22"/>
                <w:szCs w:val="22"/>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F75D6">
              <w:rPr>
                <w:sz w:val="22"/>
                <w:szCs w:val="22"/>
              </w:rPr>
              <w:t>“Про</w:t>
            </w:r>
            <w:proofErr w:type="spellEnd"/>
            <w:r w:rsidRPr="004F75D6">
              <w:rPr>
                <w:sz w:val="22"/>
                <w:szCs w:val="22"/>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F75D6">
              <w:rPr>
                <w:sz w:val="22"/>
                <w:szCs w:val="22"/>
              </w:rPr>
              <w:t>“Про</w:t>
            </w:r>
            <w:proofErr w:type="spellEnd"/>
            <w:r w:rsidRPr="004F75D6">
              <w:rPr>
                <w:sz w:val="22"/>
                <w:szCs w:val="22"/>
              </w:rPr>
              <w:t xml:space="preserve"> публічні </w:t>
            </w:r>
            <w:proofErr w:type="spellStart"/>
            <w:r w:rsidRPr="004F75D6">
              <w:rPr>
                <w:sz w:val="22"/>
                <w:szCs w:val="22"/>
              </w:rPr>
              <w:t>закупівлі”</w:t>
            </w:r>
            <w:proofErr w:type="spellEnd"/>
            <w:r w:rsidRPr="004F75D6">
              <w:rPr>
                <w:sz w:val="22"/>
                <w:szCs w:val="22"/>
              </w:rPr>
              <w:t xml:space="preserve">, на період дії правового режиму воєнного стану в Україні та протягом 90 днів з дня його припинення або </w:t>
            </w:r>
            <w:proofErr w:type="spellStart"/>
            <w:r w:rsidRPr="004F75D6">
              <w:rPr>
                <w:sz w:val="22"/>
                <w:szCs w:val="22"/>
              </w:rPr>
              <w:t>скасування”</w:t>
            </w:r>
            <w:proofErr w:type="spellEnd"/>
            <w:r w:rsidRPr="004F75D6">
              <w:rPr>
                <w:sz w:val="22"/>
                <w:szCs w:val="22"/>
              </w:rPr>
              <w:t xml:space="preserve">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4F75D6">
              <w:rPr>
                <w:sz w:val="22"/>
                <w:szCs w:val="22"/>
              </w:rPr>
              <w:lastRenderedPageBreak/>
              <w:t>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w:t>
            </w:r>
            <w:r w:rsidRPr="00D56818">
              <w:rPr>
                <w:rFonts w:ascii="Times New Roman" w:hAnsi="Times New Roman" w:cs="Times New Roman"/>
                <w:shd w:val="solid" w:color="FFFFFF" w:fill="FFFFFF"/>
                <w:lang w:eastAsia="en-US"/>
              </w:rPr>
              <w:lastRenderedPageBreak/>
              <w:t xml:space="preserve">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 xml:space="preserve">6) зміни ціни в договорі про закупівлю у зв’язку з зміною ставок податків і </w:t>
            </w:r>
            <w:r w:rsidRPr="00147E80">
              <w:rPr>
                <w:sz w:val="22"/>
                <w:szCs w:val="22"/>
              </w:rPr>
              <w:lastRenderedPageBreak/>
              <w:t>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1AF3"/>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1E11"/>
    <w:rsid w:val="002E3745"/>
    <w:rsid w:val="002E4685"/>
    <w:rsid w:val="002E46FF"/>
    <w:rsid w:val="002F5192"/>
    <w:rsid w:val="003237FE"/>
    <w:rsid w:val="00332FC8"/>
    <w:rsid w:val="00340A8E"/>
    <w:rsid w:val="00341614"/>
    <w:rsid w:val="003419C6"/>
    <w:rsid w:val="00346D4F"/>
    <w:rsid w:val="0036533E"/>
    <w:rsid w:val="00370F89"/>
    <w:rsid w:val="003832E5"/>
    <w:rsid w:val="0038519B"/>
    <w:rsid w:val="0038682F"/>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B198B"/>
    <w:rsid w:val="004B2B24"/>
    <w:rsid w:val="004B5C11"/>
    <w:rsid w:val="004B727B"/>
    <w:rsid w:val="004C5D0D"/>
    <w:rsid w:val="004D043D"/>
    <w:rsid w:val="004D5D3A"/>
    <w:rsid w:val="004E4DAB"/>
    <w:rsid w:val="004F48B5"/>
    <w:rsid w:val="004F75D6"/>
    <w:rsid w:val="0052432A"/>
    <w:rsid w:val="00524AAA"/>
    <w:rsid w:val="005332FB"/>
    <w:rsid w:val="00533A4E"/>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C08AD"/>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2028"/>
    <w:rsid w:val="009C7949"/>
    <w:rsid w:val="009D49DE"/>
    <w:rsid w:val="009D7958"/>
    <w:rsid w:val="009F12FC"/>
    <w:rsid w:val="009F46EA"/>
    <w:rsid w:val="00A02DBB"/>
    <w:rsid w:val="00A03BF1"/>
    <w:rsid w:val="00A04CFD"/>
    <w:rsid w:val="00A059E1"/>
    <w:rsid w:val="00A07993"/>
    <w:rsid w:val="00A17F53"/>
    <w:rsid w:val="00A21195"/>
    <w:rsid w:val="00A272C7"/>
    <w:rsid w:val="00A27921"/>
    <w:rsid w:val="00A31091"/>
    <w:rsid w:val="00A342B1"/>
    <w:rsid w:val="00A349D8"/>
    <w:rsid w:val="00A378CC"/>
    <w:rsid w:val="00A44078"/>
    <w:rsid w:val="00A52476"/>
    <w:rsid w:val="00A71F39"/>
    <w:rsid w:val="00A747D7"/>
    <w:rsid w:val="00A93834"/>
    <w:rsid w:val="00A93C71"/>
    <w:rsid w:val="00A948BB"/>
    <w:rsid w:val="00A9762F"/>
    <w:rsid w:val="00AA0064"/>
    <w:rsid w:val="00AA51E4"/>
    <w:rsid w:val="00AC453D"/>
    <w:rsid w:val="00AC75B1"/>
    <w:rsid w:val="00AC7BD1"/>
    <w:rsid w:val="00AE5C94"/>
    <w:rsid w:val="00AE675B"/>
    <w:rsid w:val="00AE6F2C"/>
    <w:rsid w:val="00AF1674"/>
    <w:rsid w:val="00AF6CAF"/>
    <w:rsid w:val="00AF72A5"/>
    <w:rsid w:val="00AF77F3"/>
    <w:rsid w:val="00B10C22"/>
    <w:rsid w:val="00B13CAC"/>
    <w:rsid w:val="00B2014F"/>
    <w:rsid w:val="00B30A48"/>
    <w:rsid w:val="00B327FE"/>
    <w:rsid w:val="00B33B61"/>
    <w:rsid w:val="00B5231F"/>
    <w:rsid w:val="00B570BF"/>
    <w:rsid w:val="00B61E1E"/>
    <w:rsid w:val="00B67775"/>
    <w:rsid w:val="00B934C2"/>
    <w:rsid w:val="00B94655"/>
    <w:rsid w:val="00B96A60"/>
    <w:rsid w:val="00BA448D"/>
    <w:rsid w:val="00BA48BB"/>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554D7"/>
    <w:rsid w:val="00D56818"/>
    <w:rsid w:val="00D6464C"/>
    <w:rsid w:val="00D71964"/>
    <w:rsid w:val="00D800C0"/>
    <w:rsid w:val="00D81D5F"/>
    <w:rsid w:val="00D96BE7"/>
    <w:rsid w:val="00DA5548"/>
    <w:rsid w:val="00DB6F8B"/>
    <w:rsid w:val="00DE0955"/>
    <w:rsid w:val="00DE2F69"/>
    <w:rsid w:val="00DE69ED"/>
    <w:rsid w:val="00E1203C"/>
    <w:rsid w:val="00E1277B"/>
    <w:rsid w:val="00E3710C"/>
    <w:rsid w:val="00E42B32"/>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19</Pages>
  <Words>43990</Words>
  <Characters>25075</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497</cp:revision>
  <cp:lastPrinted>2023-12-08T09:42:00Z</cp:lastPrinted>
  <dcterms:created xsi:type="dcterms:W3CDTF">2022-09-23T08:56:00Z</dcterms:created>
  <dcterms:modified xsi:type="dcterms:W3CDTF">2024-02-12T13:17:00Z</dcterms:modified>
</cp:coreProperties>
</file>