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72" w:rsidRPr="00060B8A" w:rsidRDefault="003A5972" w:rsidP="003A5972">
      <w:pPr>
        <w:pStyle w:val="20"/>
        <w:keepNext/>
        <w:keepLines/>
        <w:spacing w:before="0" w:after="0" w:line="240" w:lineRule="auto"/>
        <w:jc w:val="right"/>
        <w:rPr>
          <w:rFonts w:ascii="Times New Roman" w:hAnsi="Times New Roman" w:cs="Times New Roman"/>
          <w:b/>
          <w:bCs/>
          <w:lang w:val="uk-UA" w:eastAsia="uk-UA"/>
        </w:rPr>
      </w:pPr>
      <w:r w:rsidRPr="00060B8A">
        <w:rPr>
          <w:rFonts w:ascii="Times New Roman" w:hAnsi="Times New Roman" w:cs="Times New Roman"/>
          <w:b/>
          <w:bCs/>
          <w:lang w:val="uk-UA" w:eastAsia="uk-UA"/>
        </w:rPr>
        <w:t>ДОДАТОК № 4</w:t>
      </w:r>
    </w:p>
    <w:p w:rsidR="003A5972" w:rsidRPr="00060B8A" w:rsidRDefault="003A5972" w:rsidP="003A5972">
      <w:pPr>
        <w:pStyle w:val="20"/>
        <w:keepNext/>
        <w:keepLines/>
        <w:spacing w:before="0" w:after="0" w:line="240" w:lineRule="auto"/>
        <w:ind w:firstLine="284"/>
        <w:jc w:val="right"/>
        <w:rPr>
          <w:rFonts w:ascii="Times New Roman" w:hAnsi="Times New Roman" w:cs="Times New Roman"/>
          <w:b/>
          <w:bCs/>
          <w:lang w:val="uk-UA" w:eastAsia="uk-UA"/>
        </w:rPr>
      </w:pPr>
      <w:r w:rsidRPr="00060B8A">
        <w:rPr>
          <w:rFonts w:ascii="Times New Roman" w:hAnsi="Times New Roman" w:cs="Times New Roman"/>
          <w:b/>
          <w:bCs/>
          <w:lang w:val="uk-UA" w:eastAsia="uk-UA"/>
        </w:rPr>
        <w:t>до тендерної документації</w:t>
      </w:r>
    </w:p>
    <w:p w:rsidR="003A5972" w:rsidRPr="00060B8A" w:rsidRDefault="003A5972" w:rsidP="003A5972">
      <w:pPr>
        <w:rPr>
          <w:rFonts w:eastAsiaTheme="minorHAnsi"/>
          <w:b/>
          <w:bCs/>
          <w:lang w:val="uk-UA" w:eastAsia="uk-UA"/>
        </w:rPr>
      </w:pPr>
    </w:p>
    <w:p w:rsidR="003A5972" w:rsidRPr="00060B8A" w:rsidRDefault="003A5972" w:rsidP="003A5972">
      <w:pPr>
        <w:jc w:val="center"/>
        <w:rPr>
          <w:b/>
          <w:bCs/>
          <w:lang w:val="uk-UA" w:eastAsia="uk-UA"/>
        </w:rPr>
      </w:pPr>
      <w:r w:rsidRPr="00060B8A">
        <w:rPr>
          <w:b/>
          <w:bCs/>
          <w:lang w:val="uk-UA" w:eastAsia="uk-UA"/>
        </w:rPr>
        <w:t xml:space="preserve">ІНФОРМАЦІЯ ПРО НЕОБХІДНІ ТЕХНІЧНІ, </w:t>
      </w:r>
    </w:p>
    <w:p w:rsidR="003A5972" w:rsidRPr="00060B8A" w:rsidRDefault="003A5972" w:rsidP="003A5972">
      <w:pPr>
        <w:jc w:val="center"/>
        <w:rPr>
          <w:b/>
          <w:bCs/>
          <w:lang w:val="uk-UA" w:eastAsia="uk-UA"/>
        </w:rPr>
      </w:pPr>
      <w:r w:rsidRPr="00060B8A">
        <w:rPr>
          <w:b/>
          <w:bCs/>
          <w:lang w:val="uk-UA" w:eastAsia="uk-UA"/>
        </w:rPr>
        <w:t xml:space="preserve">ЯКІСНІ ТА КІЛЬКІСНІ ХАРАКТЕРИСТИКИ ПРЕДМЕТА ЗАКУПІВЛІ </w:t>
      </w:r>
    </w:p>
    <w:p w:rsidR="003A5972" w:rsidRPr="00060B8A" w:rsidRDefault="003A5972" w:rsidP="003A5972">
      <w:pPr>
        <w:ind w:firstLine="284"/>
        <w:jc w:val="both"/>
        <w:rPr>
          <w:i/>
          <w:sz w:val="20"/>
          <w:szCs w:val="20"/>
          <w:lang w:val="uk-UA"/>
        </w:rPr>
      </w:pPr>
    </w:p>
    <w:p w:rsidR="003A5972" w:rsidRPr="00060B8A" w:rsidRDefault="003A5972" w:rsidP="003A5972">
      <w:pPr>
        <w:ind w:firstLine="284"/>
        <w:jc w:val="center"/>
        <w:rPr>
          <w:b/>
          <w:shd w:val="clear" w:color="auto" w:fill="FFFFFF"/>
          <w:lang w:val="uk-UA"/>
        </w:rPr>
      </w:pPr>
      <w:r w:rsidRPr="00060B8A">
        <w:rPr>
          <w:b/>
          <w:shd w:val="clear" w:color="auto" w:fill="FFFFFF"/>
          <w:lang w:val="uk-UA"/>
        </w:rPr>
        <w:t>ТЕХНІЧНА СПЕЦИФІКАЦІЯ</w:t>
      </w:r>
    </w:p>
    <w:p w:rsidR="003A5972" w:rsidRPr="00060B8A" w:rsidRDefault="003A5972" w:rsidP="003A5972">
      <w:pPr>
        <w:ind w:firstLine="284"/>
        <w:jc w:val="center"/>
        <w:rPr>
          <w:b/>
          <w:shd w:val="clear" w:color="auto" w:fill="FFFFFF"/>
          <w:lang w:val="uk-UA"/>
        </w:rPr>
      </w:pPr>
    </w:p>
    <w:p w:rsidR="003A5972" w:rsidRPr="00060B8A" w:rsidRDefault="003A5972" w:rsidP="003A5972">
      <w:pPr>
        <w:ind w:firstLine="709"/>
        <w:jc w:val="both"/>
        <w:rPr>
          <w:sz w:val="22"/>
          <w:lang w:val="uk-UA"/>
        </w:rPr>
      </w:pPr>
      <w:r w:rsidRPr="00060B8A">
        <w:rPr>
          <w:sz w:val="22"/>
          <w:lang w:val="uk-UA"/>
        </w:rPr>
        <w:t>Переможець зобов’язаний забезпечувати цілодобове чергування охоронця на 1 посту на кожному з трьох об’єктів охорони, у тому числі у святкові та вихідні дні.</w:t>
      </w:r>
    </w:p>
    <w:p w:rsidR="003A5972" w:rsidRPr="00060B8A" w:rsidRDefault="003A5972" w:rsidP="003A5972">
      <w:pPr>
        <w:pStyle w:val="a3"/>
        <w:numPr>
          <w:ilvl w:val="0"/>
          <w:numId w:val="1"/>
        </w:numPr>
        <w:ind w:left="0" w:firstLine="709"/>
        <w:jc w:val="both"/>
        <w:rPr>
          <w:sz w:val="22"/>
          <w:lang w:val="uk-UA"/>
        </w:rPr>
      </w:pPr>
      <w:r w:rsidRPr="00060B8A">
        <w:rPr>
          <w:sz w:val="22"/>
          <w:lang w:val="uk-UA"/>
        </w:rPr>
        <w:t>Переможець зобов’язаний для забезпечення збереження матеріальних цінностей:</w:t>
      </w:r>
    </w:p>
    <w:p w:rsidR="003A5972" w:rsidRPr="00060B8A" w:rsidRDefault="003A5972" w:rsidP="003A5972">
      <w:pPr>
        <w:pStyle w:val="a3"/>
        <w:numPr>
          <w:ilvl w:val="1"/>
          <w:numId w:val="1"/>
        </w:numPr>
        <w:ind w:left="0" w:firstLine="709"/>
        <w:jc w:val="both"/>
        <w:rPr>
          <w:sz w:val="22"/>
          <w:lang w:val="uk-UA"/>
        </w:rPr>
      </w:pPr>
      <w:r w:rsidRPr="00060B8A">
        <w:rPr>
          <w:sz w:val="22"/>
          <w:lang w:val="uk-UA"/>
        </w:rPr>
        <w:t>Організувати охорону відповідно до зазначених вимог.</w:t>
      </w:r>
    </w:p>
    <w:p w:rsidR="003A5972" w:rsidRPr="00060B8A" w:rsidRDefault="003A5972" w:rsidP="003A5972">
      <w:pPr>
        <w:pStyle w:val="a3"/>
        <w:numPr>
          <w:ilvl w:val="1"/>
          <w:numId w:val="1"/>
        </w:numPr>
        <w:ind w:left="0" w:firstLine="709"/>
        <w:jc w:val="both"/>
        <w:rPr>
          <w:sz w:val="22"/>
          <w:lang w:val="uk-UA"/>
        </w:rPr>
      </w:pPr>
      <w:r w:rsidRPr="00060B8A">
        <w:rPr>
          <w:sz w:val="22"/>
          <w:lang w:val="uk-UA"/>
        </w:rPr>
        <w:t>Забезпечити охорону території об’єкта та збереження матеріальних цінностей.</w:t>
      </w:r>
    </w:p>
    <w:p w:rsidR="003A5972" w:rsidRPr="00060B8A" w:rsidRDefault="003A5972" w:rsidP="003A5972">
      <w:pPr>
        <w:pStyle w:val="a3"/>
        <w:numPr>
          <w:ilvl w:val="1"/>
          <w:numId w:val="1"/>
        </w:numPr>
        <w:ind w:left="0" w:firstLine="709"/>
        <w:jc w:val="both"/>
        <w:rPr>
          <w:sz w:val="22"/>
          <w:lang w:val="uk-UA"/>
        </w:rPr>
      </w:pPr>
      <w:r w:rsidRPr="00060B8A">
        <w:rPr>
          <w:sz w:val="22"/>
          <w:lang w:val="uk-UA"/>
        </w:rPr>
        <w:t>Забезпечити якісний підбір, екіпіровку та інструктаж кадрів для виконання функцій охоронців.</w:t>
      </w:r>
    </w:p>
    <w:p w:rsidR="003A5972" w:rsidRPr="00060B8A" w:rsidRDefault="003A5972" w:rsidP="003A5972">
      <w:pPr>
        <w:pStyle w:val="a3"/>
        <w:numPr>
          <w:ilvl w:val="1"/>
          <w:numId w:val="1"/>
        </w:numPr>
        <w:ind w:left="0" w:firstLine="709"/>
        <w:jc w:val="both"/>
        <w:rPr>
          <w:sz w:val="22"/>
          <w:lang w:val="uk-UA"/>
        </w:rPr>
      </w:pPr>
      <w:r w:rsidRPr="00060B8A">
        <w:rPr>
          <w:sz w:val="22"/>
          <w:lang w:val="uk-UA"/>
        </w:rPr>
        <w:t>До несення служби залучати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 пов’язаних з охорони об’єктів, охорони громадського порядку та безпеки, з надання  послуг з охорони громадян.</w:t>
      </w:r>
    </w:p>
    <w:p w:rsidR="003A5972" w:rsidRPr="00060B8A" w:rsidRDefault="003A5972" w:rsidP="003A5972">
      <w:pPr>
        <w:pStyle w:val="a3"/>
        <w:numPr>
          <w:ilvl w:val="1"/>
          <w:numId w:val="1"/>
        </w:numPr>
        <w:ind w:left="0" w:firstLine="709"/>
        <w:jc w:val="both"/>
        <w:rPr>
          <w:sz w:val="22"/>
          <w:lang w:val="uk-UA"/>
        </w:rPr>
      </w:pPr>
      <w:r w:rsidRPr="00060B8A">
        <w:rPr>
          <w:sz w:val="22"/>
          <w:lang w:val="uk-UA"/>
        </w:rPr>
        <w:t xml:space="preserve">Забезпечити пости охорони системами </w:t>
      </w:r>
      <w:proofErr w:type="spellStart"/>
      <w:r w:rsidRPr="00060B8A">
        <w:rPr>
          <w:sz w:val="22"/>
          <w:lang w:val="uk-UA"/>
        </w:rPr>
        <w:t>периметрального</w:t>
      </w:r>
      <w:proofErr w:type="spellEnd"/>
      <w:r w:rsidRPr="00060B8A">
        <w:rPr>
          <w:sz w:val="22"/>
          <w:lang w:val="uk-UA"/>
        </w:rPr>
        <w:t xml:space="preserve"> відеоспостереження з можливістю збереження відео інформації за весь період дії договору, та їх технічного обслуговування.</w:t>
      </w:r>
    </w:p>
    <w:p w:rsidR="003A5972" w:rsidRPr="00060B8A" w:rsidRDefault="003A5972" w:rsidP="003A5972">
      <w:pPr>
        <w:pStyle w:val="a3"/>
        <w:numPr>
          <w:ilvl w:val="1"/>
          <w:numId w:val="1"/>
        </w:numPr>
        <w:ind w:left="0" w:firstLine="709"/>
        <w:jc w:val="both"/>
        <w:rPr>
          <w:sz w:val="22"/>
          <w:lang w:val="uk-UA"/>
        </w:rPr>
      </w:pPr>
      <w:r w:rsidRPr="00060B8A">
        <w:rPr>
          <w:sz w:val="22"/>
          <w:lang w:val="uk-UA"/>
        </w:rPr>
        <w:t>Забезпечити реагування на тривожні сигнали з об'єктів охорони мобільною групою посилення постів в нештатних ситуаціях.</w:t>
      </w:r>
    </w:p>
    <w:p w:rsidR="003A5972" w:rsidRPr="00060B8A" w:rsidRDefault="003A5972" w:rsidP="003A5972">
      <w:pPr>
        <w:pStyle w:val="a3"/>
        <w:ind w:left="709"/>
        <w:jc w:val="both"/>
        <w:rPr>
          <w:sz w:val="22"/>
          <w:lang w:val="uk-UA"/>
        </w:rPr>
      </w:pPr>
      <w:r w:rsidRPr="00060B8A">
        <w:rPr>
          <w:sz w:val="22"/>
          <w:lang w:val="uk-UA"/>
        </w:rPr>
        <w:t>Обов’язки охоронців:</w:t>
      </w:r>
    </w:p>
    <w:p w:rsidR="003A5972" w:rsidRPr="00060B8A" w:rsidRDefault="003A5972" w:rsidP="003A5972">
      <w:pPr>
        <w:pStyle w:val="a3"/>
        <w:numPr>
          <w:ilvl w:val="1"/>
          <w:numId w:val="2"/>
        </w:numPr>
        <w:ind w:left="0" w:firstLine="709"/>
        <w:jc w:val="both"/>
        <w:rPr>
          <w:sz w:val="22"/>
          <w:lang w:val="uk-UA"/>
        </w:rPr>
      </w:pPr>
      <w:r w:rsidRPr="00060B8A">
        <w:rPr>
          <w:sz w:val="22"/>
          <w:lang w:val="uk-UA"/>
        </w:rPr>
        <w:t>Не допускати несанкціонованого проникнення сторонніх осіб на території закладів.</w:t>
      </w:r>
    </w:p>
    <w:p w:rsidR="003A5972" w:rsidRPr="00060B8A" w:rsidRDefault="003A5972" w:rsidP="003A5972">
      <w:pPr>
        <w:pStyle w:val="a3"/>
        <w:numPr>
          <w:ilvl w:val="1"/>
          <w:numId w:val="2"/>
        </w:numPr>
        <w:ind w:left="0" w:firstLine="709"/>
        <w:jc w:val="both"/>
        <w:rPr>
          <w:sz w:val="22"/>
          <w:lang w:val="uk-UA"/>
        </w:rPr>
      </w:pPr>
      <w:r w:rsidRPr="00060B8A">
        <w:rPr>
          <w:sz w:val="22"/>
          <w:lang w:val="uk-UA"/>
        </w:rPr>
        <w:t>Збереження майна на об’єкті.</w:t>
      </w:r>
    </w:p>
    <w:p w:rsidR="003A5972" w:rsidRPr="00060B8A" w:rsidRDefault="003A5972" w:rsidP="003A5972">
      <w:pPr>
        <w:pStyle w:val="a3"/>
        <w:numPr>
          <w:ilvl w:val="1"/>
          <w:numId w:val="2"/>
        </w:numPr>
        <w:ind w:left="0" w:firstLine="709"/>
        <w:jc w:val="both"/>
        <w:rPr>
          <w:sz w:val="22"/>
          <w:lang w:val="uk-UA"/>
        </w:rPr>
      </w:pPr>
      <w:r w:rsidRPr="00060B8A">
        <w:rPr>
          <w:sz w:val="22"/>
          <w:lang w:val="uk-UA"/>
        </w:rPr>
        <w:t>Організація та забезпечення підтримки правопорядку на об’єктах охорони та проведення заходів, направлених на виявлення і попередження порушення громадського порядку третіми особами на об’єктах.</w:t>
      </w:r>
    </w:p>
    <w:p w:rsidR="003A5972" w:rsidRPr="00060B8A" w:rsidRDefault="003A5972" w:rsidP="003A5972">
      <w:pPr>
        <w:pStyle w:val="a3"/>
        <w:numPr>
          <w:ilvl w:val="1"/>
          <w:numId w:val="2"/>
        </w:numPr>
        <w:ind w:left="0" w:firstLine="709"/>
        <w:jc w:val="both"/>
        <w:rPr>
          <w:sz w:val="22"/>
          <w:lang w:val="uk-UA"/>
        </w:rPr>
      </w:pPr>
      <w:r w:rsidRPr="00060B8A">
        <w:rPr>
          <w:sz w:val="22"/>
          <w:lang w:val="uk-UA"/>
        </w:rPr>
        <w:t>Забезпечення дотримання встановлених правил пожежної безпеки на постах силами працівників охорони під час несення ними служби, а у випадку виявлення на об’єктах, що охороняються,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організація евакуації майна Замовника та його охорону.</w:t>
      </w:r>
    </w:p>
    <w:p w:rsidR="003A5972" w:rsidRPr="00060B8A" w:rsidRDefault="003A5972" w:rsidP="003A5972">
      <w:pPr>
        <w:pStyle w:val="a3"/>
        <w:numPr>
          <w:ilvl w:val="1"/>
          <w:numId w:val="2"/>
        </w:numPr>
        <w:ind w:left="0" w:firstLine="709"/>
        <w:jc w:val="both"/>
        <w:rPr>
          <w:sz w:val="22"/>
          <w:lang w:val="uk-UA"/>
        </w:rPr>
      </w:pPr>
      <w:r w:rsidRPr="00060B8A">
        <w:rPr>
          <w:sz w:val="22"/>
          <w:lang w:val="uk-UA"/>
        </w:rPr>
        <w:t>Організація взаємодії з державними правоохоронними органами з метою належного виконання зобов’язань. Негайне оповіщення правоохоронних органів та відповідальних працівників Замовника у випадку виявлення порушення цілісності об’єктів охорони, крадіжки, грабежу, розбою, підпалу, тощо. До прибуття представників вищезазначених органів Учасник забезпечує недоторканість місць події.</w:t>
      </w:r>
    </w:p>
    <w:p w:rsidR="003A5972" w:rsidRPr="00060B8A" w:rsidRDefault="003A5972" w:rsidP="003A5972">
      <w:pPr>
        <w:pStyle w:val="a3"/>
        <w:numPr>
          <w:ilvl w:val="1"/>
          <w:numId w:val="2"/>
        </w:numPr>
        <w:ind w:left="0" w:firstLine="709"/>
        <w:jc w:val="both"/>
        <w:rPr>
          <w:sz w:val="22"/>
          <w:lang w:val="uk-UA"/>
        </w:rPr>
      </w:pPr>
      <w:r w:rsidRPr="00060B8A">
        <w:rPr>
          <w:sz w:val="22"/>
          <w:lang w:val="uk-UA"/>
        </w:rPr>
        <w:t>Забезпечення особистої безпеки працівників Замовника та відвідувачів від зазіхань третіх осіб на їх життя, здоров’я та майно, попереджати правопорушення, забезпечувати правопорядок та запобігати кризовим ситуаціям.</w:t>
      </w:r>
    </w:p>
    <w:p w:rsidR="003A5972" w:rsidRPr="00060B8A" w:rsidRDefault="003A5972" w:rsidP="003A5972">
      <w:pPr>
        <w:pStyle w:val="a3"/>
        <w:numPr>
          <w:ilvl w:val="1"/>
          <w:numId w:val="2"/>
        </w:numPr>
        <w:ind w:left="0" w:firstLine="709"/>
        <w:jc w:val="both"/>
        <w:rPr>
          <w:sz w:val="22"/>
          <w:lang w:val="uk-UA"/>
        </w:rPr>
      </w:pPr>
      <w:r w:rsidRPr="00060B8A">
        <w:rPr>
          <w:sz w:val="22"/>
          <w:lang w:val="uk-UA"/>
        </w:rPr>
        <w:t>Не допущення на об’єкт охорони осіб, які знаходяться під впливом алкогольного сп’яніння чи наркотичних засобів.</w:t>
      </w:r>
    </w:p>
    <w:p w:rsidR="003A5972" w:rsidRPr="00060B8A" w:rsidRDefault="003A5972" w:rsidP="003A5972">
      <w:pPr>
        <w:ind w:firstLine="709"/>
        <w:jc w:val="both"/>
        <w:rPr>
          <w:sz w:val="22"/>
          <w:lang w:val="uk-UA"/>
        </w:rPr>
      </w:pPr>
      <w:r w:rsidRPr="00060B8A">
        <w:rPr>
          <w:sz w:val="22"/>
          <w:lang w:val="uk-UA"/>
        </w:rPr>
        <w:t>2. Загальні вимоги:</w:t>
      </w:r>
    </w:p>
    <w:p w:rsidR="003A5972" w:rsidRPr="00060B8A" w:rsidRDefault="003A5972" w:rsidP="003A5972">
      <w:pPr>
        <w:ind w:firstLine="709"/>
        <w:jc w:val="both"/>
        <w:rPr>
          <w:sz w:val="22"/>
          <w:lang w:val="uk-UA"/>
        </w:rPr>
      </w:pPr>
      <w:r w:rsidRPr="00060B8A">
        <w:rPr>
          <w:sz w:val="22"/>
          <w:lang w:val="uk-UA"/>
        </w:rPr>
        <w:t xml:space="preserve">2.1. Охоронники обов'язково повинні бути одягнуті в спецодяг, озброєні спецзасобами активної оборони та оснащені спецзасобами зв'язку. </w:t>
      </w:r>
    </w:p>
    <w:p w:rsidR="003A5972" w:rsidRPr="00060B8A" w:rsidRDefault="003A5972" w:rsidP="003A5972">
      <w:pPr>
        <w:ind w:firstLine="709"/>
        <w:jc w:val="both"/>
        <w:rPr>
          <w:sz w:val="22"/>
          <w:lang w:val="uk-UA"/>
        </w:rPr>
      </w:pPr>
      <w:r w:rsidRPr="00060B8A">
        <w:rPr>
          <w:sz w:val="22"/>
          <w:lang w:val="uk-UA"/>
        </w:rPr>
        <w:t>2.2. Охоронники повинні працювати в цілодобовому режимі з графіком роботи - доба через три доби на цілодобовому посту охорони об’єкта.</w:t>
      </w:r>
    </w:p>
    <w:p w:rsidR="003A5972" w:rsidRPr="00060B8A" w:rsidRDefault="003A5972" w:rsidP="003A5972">
      <w:pPr>
        <w:ind w:firstLine="709"/>
        <w:jc w:val="both"/>
        <w:rPr>
          <w:sz w:val="22"/>
          <w:lang w:val="uk-UA"/>
        </w:rPr>
      </w:pPr>
      <w:r w:rsidRPr="00060B8A">
        <w:rPr>
          <w:sz w:val="22"/>
          <w:lang w:val="uk-UA"/>
        </w:rPr>
        <w:t>2.2. У разі виникнення (або загрозі виникнення) ситуації, що не дає можливості забезпечити підтримання громадського порядку на території об’єкту, наявними силами охорони, учасник повинен посилювати кількісний склад охорони охоронниками (до десяти осіб), наділеними  правами та обов’язками передбаченими Законом України «Про участь громадян в охороні громадського порядку і державного кордону» за рахунок додаткових сил, у залежності від сформованих обставин.</w:t>
      </w:r>
    </w:p>
    <w:p w:rsidR="003A5972" w:rsidRPr="00060B8A" w:rsidRDefault="003A5972" w:rsidP="003A5972">
      <w:pPr>
        <w:ind w:firstLine="709"/>
        <w:jc w:val="both"/>
        <w:rPr>
          <w:sz w:val="22"/>
          <w:lang w:val="uk-UA"/>
        </w:rPr>
      </w:pPr>
      <w:r w:rsidRPr="00060B8A">
        <w:rPr>
          <w:sz w:val="22"/>
          <w:lang w:val="uk-UA"/>
        </w:rPr>
        <w:t xml:space="preserve">2.3. За вимогою Замовника, Виконавець повинен надати таку групу за </w:t>
      </w:r>
      <w:proofErr w:type="spellStart"/>
      <w:r w:rsidRPr="00060B8A">
        <w:rPr>
          <w:sz w:val="22"/>
          <w:lang w:val="uk-UA"/>
        </w:rPr>
        <w:t>адресою</w:t>
      </w:r>
      <w:proofErr w:type="spellEnd"/>
      <w:r w:rsidRPr="00060B8A">
        <w:rPr>
          <w:sz w:val="22"/>
          <w:lang w:val="uk-UA"/>
        </w:rPr>
        <w:t xml:space="preserve"> об’єкту охорони в кількості не менше 3-х охоронників, екіпірованих в уніформу, оснащених засобами захисту та активної оборони та обладнаним транспортом реагування засобами радіотехнічного зв’язку, </w:t>
      </w:r>
      <w:proofErr w:type="spellStart"/>
      <w:r w:rsidRPr="00060B8A">
        <w:rPr>
          <w:sz w:val="22"/>
          <w:lang w:val="uk-UA"/>
        </w:rPr>
        <w:t>кольорографічними</w:t>
      </w:r>
      <w:proofErr w:type="spellEnd"/>
      <w:r w:rsidRPr="00060B8A">
        <w:rPr>
          <w:sz w:val="22"/>
          <w:lang w:val="uk-UA"/>
        </w:rPr>
        <w:t xml:space="preserve"> схемами (написами), світловими та звуковими сигналами з урахуванням ліцензійних вимог.  Час реагування не більше 7 хвилин.</w:t>
      </w:r>
    </w:p>
    <w:p w:rsidR="003A5972" w:rsidRPr="00060B8A" w:rsidRDefault="003A5972" w:rsidP="003A5972">
      <w:pPr>
        <w:ind w:firstLine="709"/>
        <w:jc w:val="both"/>
        <w:rPr>
          <w:b/>
          <w:sz w:val="22"/>
          <w:szCs w:val="22"/>
          <w:lang w:val="uk-UA" w:eastAsia="ar-SA"/>
        </w:rPr>
      </w:pPr>
      <w:r w:rsidRPr="00060B8A">
        <w:rPr>
          <w:b/>
          <w:sz w:val="22"/>
          <w:szCs w:val="22"/>
          <w:lang w:val="uk-UA" w:eastAsia="ar-SA"/>
        </w:rPr>
        <w:t>Дислокація закладів, у яких надаватимуть послуги:</w:t>
      </w:r>
    </w:p>
    <w:p w:rsidR="003A5972" w:rsidRPr="00060B8A" w:rsidRDefault="003A5972" w:rsidP="003A5972">
      <w:pPr>
        <w:ind w:firstLine="709"/>
        <w:jc w:val="both"/>
        <w:rPr>
          <w:b/>
          <w:sz w:val="22"/>
          <w:szCs w:val="22"/>
          <w:lang w:val="uk-UA" w:eastAsia="ar-SA"/>
        </w:rPr>
      </w:pPr>
    </w:p>
    <w:p w:rsidR="003A5972" w:rsidRPr="00060B8A" w:rsidRDefault="003A5972" w:rsidP="003A5972">
      <w:pPr>
        <w:ind w:firstLine="709"/>
        <w:jc w:val="both"/>
        <w:rPr>
          <w:b/>
          <w:sz w:val="22"/>
          <w:szCs w:val="22"/>
          <w:lang w:val="uk-UA" w:eastAsia="ar-SA"/>
        </w:rPr>
      </w:pPr>
    </w:p>
    <w:p w:rsidR="003A5972" w:rsidRPr="00060B8A" w:rsidRDefault="003A5972" w:rsidP="003A5972">
      <w:pPr>
        <w:jc w:val="both"/>
        <w:rPr>
          <w:b/>
          <w:iCs/>
          <w:sz w:val="14"/>
          <w:szCs w:val="22"/>
          <w:lang w:val="uk-UA"/>
        </w:rPr>
      </w:pPr>
    </w:p>
    <w:tbl>
      <w:tblPr>
        <w:tblStyle w:val="a4"/>
        <w:tblW w:w="10627" w:type="dxa"/>
        <w:tblLayout w:type="fixed"/>
        <w:tblLook w:val="04A0" w:firstRow="1" w:lastRow="0" w:firstColumn="1" w:lastColumn="0" w:noHBand="0" w:noVBand="1"/>
      </w:tblPr>
      <w:tblGrid>
        <w:gridCol w:w="7508"/>
        <w:gridCol w:w="3119"/>
      </w:tblGrid>
      <w:tr w:rsidR="003A5972" w:rsidRPr="00060B8A" w:rsidTr="007E7E1E">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3A5972" w:rsidRPr="00060B8A" w:rsidRDefault="003A5972" w:rsidP="007E7E1E">
            <w:pPr>
              <w:jc w:val="center"/>
              <w:rPr>
                <w:b/>
                <w:sz w:val="22"/>
                <w:szCs w:val="19"/>
                <w:lang w:val="uk-UA"/>
              </w:rPr>
            </w:pPr>
            <w:r w:rsidRPr="00060B8A">
              <w:rPr>
                <w:b/>
                <w:sz w:val="22"/>
                <w:szCs w:val="19"/>
                <w:lang w:val="uk-UA"/>
              </w:rPr>
              <w:lastRenderedPageBreak/>
              <w:t>Заклад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5972" w:rsidRPr="00060B8A" w:rsidRDefault="003A5972" w:rsidP="007E7E1E">
            <w:pPr>
              <w:jc w:val="center"/>
              <w:rPr>
                <w:b/>
                <w:sz w:val="22"/>
                <w:szCs w:val="19"/>
                <w:lang w:val="uk-UA"/>
              </w:rPr>
            </w:pPr>
            <w:r w:rsidRPr="00060B8A">
              <w:rPr>
                <w:b/>
                <w:sz w:val="22"/>
                <w:szCs w:val="19"/>
                <w:lang w:val="uk-UA"/>
              </w:rPr>
              <w:t>Адреса</w:t>
            </w:r>
          </w:p>
        </w:tc>
      </w:tr>
      <w:tr w:rsidR="003A5972" w:rsidRPr="00060B8A" w:rsidTr="007E7E1E">
        <w:trPr>
          <w:trHeight w:val="20"/>
        </w:trPr>
        <w:tc>
          <w:tcPr>
            <w:tcW w:w="7508" w:type="dxa"/>
            <w:tcBorders>
              <w:top w:val="single" w:sz="4" w:space="0" w:color="auto"/>
              <w:left w:val="single" w:sz="4" w:space="0" w:color="auto"/>
              <w:bottom w:val="single" w:sz="4" w:space="0" w:color="auto"/>
              <w:right w:val="single" w:sz="4" w:space="0" w:color="auto"/>
            </w:tcBorders>
          </w:tcPr>
          <w:p w:rsidR="003A5972" w:rsidRPr="00060B8A" w:rsidRDefault="003A5972" w:rsidP="007E7E1E">
            <w:pPr>
              <w:jc w:val="both"/>
              <w:rPr>
                <w:bCs/>
                <w:sz w:val="20"/>
                <w:szCs w:val="19"/>
                <w:lang w:val="uk-UA"/>
              </w:rPr>
            </w:pPr>
            <w:r w:rsidRPr="00060B8A">
              <w:rPr>
                <w:bCs/>
                <w:sz w:val="20"/>
                <w:szCs w:val="19"/>
                <w:lang w:val="uk-UA"/>
              </w:rPr>
              <w:t>Дошкільний навчальний заклад (ясла-садок) №422 Деснянського району міста Києва</w:t>
            </w:r>
          </w:p>
        </w:tc>
        <w:tc>
          <w:tcPr>
            <w:tcW w:w="3119" w:type="dxa"/>
            <w:tcBorders>
              <w:top w:val="single" w:sz="4" w:space="0" w:color="auto"/>
              <w:left w:val="single" w:sz="4" w:space="0" w:color="auto"/>
              <w:bottom w:val="single" w:sz="4" w:space="0" w:color="auto"/>
              <w:right w:val="single" w:sz="4" w:space="0" w:color="auto"/>
            </w:tcBorders>
          </w:tcPr>
          <w:p w:rsidR="003A5972" w:rsidRPr="00060B8A" w:rsidRDefault="003A5972" w:rsidP="007E7E1E">
            <w:pPr>
              <w:jc w:val="center"/>
              <w:rPr>
                <w:bCs/>
                <w:sz w:val="20"/>
                <w:szCs w:val="19"/>
                <w:lang w:val="uk-UA"/>
              </w:rPr>
            </w:pPr>
            <w:r w:rsidRPr="00060B8A">
              <w:rPr>
                <w:bCs/>
                <w:sz w:val="20"/>
                <w:szCs w:val="19"/>
                <w:lang w:val="uk-UA"/>
              </w:rPr>
              <w:t>м. Київ, вул. Шолом-</w:t>
            </w:r>
            <w:proofErr w:type="spellStart"/>
            <w:r w:rsidRPr="00060B8A">
              <w:rPr>
                <w:bCs/>
                <w:sz w:val="20"/>
                <w:szCs w:val="19"/>
                <w:lang w:val="uk-UA"/>
              </w:rPr>
              <w:t>Алейхема</w:t>
            </w:r>
            <w:proofErr w:type="spellEnd"/>
            <w:r w:rsidRPr="00060B8A">
              <w:rPr>
                <w:bCs/>
                <w:sz w:val="20"/>
                <w:szCs w:val="19"/>
                <w:lang w:val="uk-UA"/>
              </w:rPr>
              <w:t>, 1-А</w:t>
            </w:r>
          </w:p>
        </w:tc>
      </w:tr>
      <w:tr w:rsidR="003A5972" w:rsidRPr="00060B8A" w:rsidTr="007E7E1E">
        <w:trPr>
          <w:trHeight w:val="20"/>
        </w:trPr>
        <w:tc>
          <w:tcPr>
            <w:tcW w:w="7508" w:type="dxa"/>
            <w:tcBorders>
              <w:top w:val="single" w:sz="4" w:space="0" w:color="auto"/>
              <w:left w:val="single" w:sz="4" w:space="0" w:color="auto"/>
              <w:bottom w:val="single" w:sz="4" w:space="0" w:color="auto"/>
              <w:right w:val="single" w:sz="4" w:space="0" w:color="auto"/>
            </w:tcBorders>
          </w:tcPr>
          <w:p w:rsidR="003A5972" w:rsidRPr="00060B8A" w:rsidRDefault="003A5972" w:rsidP="007E7E1E">
            <w:pPr>
              <w:jc w:val="both"/>
              <w:rPr>
                <w:bCs/>
                <w:sz w:val="20"/>
                <w:szCs w:val="19"/>
                <w:lang w:val="uk-UA"/>
              </w:rPr>
            </w:pPr>
            <w:r w:rsidRPr="00060B8A">
              <w:rPr>
                <w:bCs/>
                <w:sz w:val="20"/>
                <w:szCs w:val="19"/>
                <w:lang w:val="uk-UA"/>
              </w:rPr>
              <w:t>Дошкільний навчальний заклад (ясла-садок) № 782 Деснянського району міста Києва</w:t>
            </w:r>
          </w:p>
        </w:tc>
        <w:tc>
          <w:tcPr>
            <w:tcW w:w="3119" w:type="dxa"/>
            <w:tcBorders>
              <w:top w:val="single" w:sz="4" w:space="0" w:color="auto"/>
              <w:left w:val="single" w:sz="4" w:space="0" w:color="auto"/>
              <w:bottom w:val="single" w:sz="4" w:space="0" w:color="auto"/>
              <w:right w:val="single" w:sz="4" w:space="0" w:color="auto"/>
            </w:tcBorders>
          </w:tcPr>
          <w:p w:rsidR="003A5972" w:rsidRPr="00060B8A" w:rsidRDefault="003A5972" w:rsidP="007E7E1E">
            <w:pPr>
              <w:jc w:val="center"/>
              <w:rPr>
                <w:bCs/>
                <w:sz w:val="20"/>
                <w:szCs w:val="19"/>
                <w:lang w:val="uk-UA"/>
              </w:rPr>
            </w:pPr>
            <w:r w:rsidRPr="00060B8A">
              <w:rPr>
                <w:bCs/>
                <w:sz w:val="20"/>
                <w:szCs w:val="19"/>
                <w:lang w:val="uk-UA"/>
              </w:rPr>
              <w:t>м. Київ, вул. Сержа Лифаря, 16-А</w:t>
            </w:r>
          </w:p>
        </w:tc>
      </w:tr>
      <w:tr w:rsidR="003A5972" w:rsidRPr="00060B8A" w:rsidTr="007E7E1E">
        <w:trPr>
          <w:trHeight w:val="20"/>
        </w:trPr>
        <w:tc>
          <w:tcPr>
            <w:tcW w:w="7508" w:type="dxa"/>
            <w:tcBorders>
              <w:top w:val="single" w:sz="4" w:space="0" w:color="auto"/>
              <w:left w:val="single" w:sz="4" w:space="0" w:color="auto"/>
              <w:bottom w:val="single" w:sz="4" w:space="0" w:color="auto"/>
              <w:right w:val="single" w:sz="4" w:space="0" w:color="auto"/>
            </w:tcBorders>
          </w:tcPr>
          <w:p w:rsidR="003A5972" w:rsidRPr="00060B8A" w:rsidRDefault="003A5972" w:rsidP="007E7E1E">
            <w:pPr>
              <w:jc w:val="both"/>
              <w:rPr>
                <w:bCs/>
                <w:sz w:val="20"/>
                <w:szCs w:val="19"/>
                <w:lang w:val="uk-UA"/>
              </w:rPr>
            </w:pPr>
            <w:r w:rsidRPr="00060B8A">
              <w:rPr>
                <w:bCs/>
                <w:sz w:val="20"/>
                <w:szCs w:val="19"/>
                <w:lang w:val="uk-UA"/>
              </w:rPr>
              <w:t>Дошкільний навчальний заклад (ясла-садок) № 618 Деснянського району міста Києва</w:t>
            </w:r>
          </w:p>
        </w:tc>
        <w:tc>
          <w:tcPr>
            <w:tcW w:w="3119" w:type="dxa"/>
            <w:tcBorders>
              <w:top w:val="single" w:sz="4" w:space="0" w:color="auto"/>
              <w:left w:val="single" w:sz="4" w:space="0" w:color="auto"/>
              <w:bottom w:val="single" w:sz="4" w:space="0" w:color="auto"/>
              <w:right w:val="single" w:sz="4" w:space="0" w:color="auto"/>
            </w:tcBorders>
          </w:tcPr>
          <w:p w:rsidR="003A5972" w:rsidRPr="00060B8A" w:rsidRDefault="003A5972" w:rsidP="007E7E1E">
            <w:pPr>
              <w:jc w:val="center"/>
              <w:rPr>
                <w:sz w:val="20"/>
                <w:szCs w:val="19"/>
                <w:lang w:val="uk-UA"/>
              </w:rPr>
            </w:pPr>
            <w:r w:rsidRPr="00060B8A">
              <w:rPr>
                <w:bCs/>
                <w:sz w:val="20"/>
                <w:szCs w:val="19"/>
                <w:lang w:val="uk-UA"/>
              </w:rPr>
              <w:t>м. Київ, вул. Каштанова, 6</w:t>
            </w:r>
          </w:p>
        </w:tc>
      </w:tr>
    </w:tbl>
    <w:p w:rsidR="003A5972" w:rsidRPr="00060B8A" w:rsidRDefault="003A5972" w:rsidP="003A5972">
      <w:pPr>
        <w:jc w:val="both"/>
        <w:rPr>
          <w:i/>
          <w:sz w:val="20"/>
          <w:szCs w:val="20"/>
          <w:lang w:val="uk-UA"/>
        </w:rPr>
      </w:pPr>
    </w:p>
    <w:p w:rsidR="003A5972" w:rsidRPr="00060B8A" w:rsidRDefault="003A5972" w:rsidP="003A5972">
      <w:pPr>
        <w:ind w:firstLine="284"/>
        <w:jc w:val="both"/>
        <w:rPr>
          <w:i/>
          <w:sz w:val="20"/>
          <w:szCs w:val="20"/>
          <w:lang w:val="uk-UA"/>
        </w:rPr>
      </w:pPr>
    </w:p>
    <w:p w:rsidR="003A5972" w:rsidRPr="00060B8A" w:rsidRDefault="003A5972" w:rsidP="003A5972">
      <w:pPr>
        <w:ind w:firstLine="284"/>
        <w:jc w:val="both"/>
        <w:rPr>
          <w:i/>
          <w:sz w:val="20"/>
          <w:szCs w:val="20"/>
          <w:lang w:val="uk-UA"/>
        </w:rPr>
      </w:pPr>
      <w:r w:rsidRPr="00060B8A">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3A5972" w:rsidRDefault="003A5972">
      <w:pPr>
        <w:rPr>
          <w:lang w:val="uk-UA"/>
        </w:rPr>
      </w:pPr>
      <w:bookmarkStart w:id="0" w:name="_GoBack"/>
      <w:bookmarkEnd w:id="0"/>
    </w:p>
    <w:sectPr w:rsidR="00AC1413" w:rsidRPr="003A5972"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5171"/>
    <w:multiLevelType w:val="hybridMultilevel"/>
    <w:tmpl w:val="470E4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810E73"/>
    <w:multiLevelType w:val="multilevel"/>
    <w:tmpl w:val="086214A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72"/>
    <w:rsid w:val="003A5972"/>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15EA2-4BAF-4B30-91FF-78A983F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7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72"/>
    <w:pPr>
      <w:ind w:left="720"/>
    </w:pPr>
    <w:rPr>
      <w:lang w:val="en-GB" w:eastAsia="en-US"/>
    </w:rPr>
  </w:style>
  <w:style w:type="character" w:customStyle="1" w:styleId="2">
    <w:name w:val="Заголовок №2_"/>
    <w:link w:val="20"/>
    <w:rsid w:val="003A5972"/>
    <w:rPr>
      <w:shd w:val="clear" w:color="auto" w:fill="FFFFFF"/>
    </w:rPr>
  </w:style>
  <w:style w:type="paragraph" w:customStyle="1" w:styleId="20">
    <w:name w:val="Заголовок №2"/>
    <w:basedOn w:val="a"/>
    <w:link w:val="2"/>
    <w:rsid w:val="003A5972"/>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3A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2023-12-21T12:06:00Z</dcterms:created>
  <dcterms:modified xsi:type="dcterms:W3CDTF">2023-12-21T12:06:00Z</dcterms:modified>
</cp:coreProperties>
</file>