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3F129723"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8331D9" w:rsidRPr="008331D9">
        <w:rPr>
          <w:rFonts w:ascii="Times New Roman" w:hAnsi="Times New Roman" w:cs="Times New Roman"/>
          <w:b/>
          <w:bCs/>
        </w:rPr>
        <w:t>UA-2024-04-30-010468-a</w:t>
      </w:r>
    </w:p>
    <w:p w14:paraId="5DA12733" w14:textId="61873CC3" w:rsidR="0039597C" w:rsidRPr="00CB0F12" w:rsidRDefault="00A63F31" w:rsidP="00CB0F12">
      <w:pPr>
        <w:jc w:val="center"/>
        <w:rPr>
          <w:rFonts w:ascii="Times New Roman" w:hAnsi="Times New Roman" w:cs="Times New Roman"/>
          <w:b/>
          <w:bCs/>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CB0F12" w:rsidRPr="00CB0F12">
        <w:rPr>
          <w:rFonts w:ascii="Times New Roman" w:hAnsi="Times New Roman" w:cs="Times New Roman"/>
          <w:b/>
          <w:bCs/>
          <w:lang w:val="uk-UA"/>
        </w:rPr>
        <w:t xml:space="preserve">№ </w:t>
      </w:r>
      <w:r w:rsidR="00CB0F12" w:rsidRPr="00CB0F12">
        <w:rPr>
          <w:rFonts w:ascii="Times New Roman" w:hAnsi="Times New Roman" w:cs="Times New Roman"/>
          <w:b/>
          <w:bCs/>
        </w:rPr>
        <w:t>2/</w:t>
      </w:r>
      <w:r w:rsidR="00CB0F12" w:rsidRPr="00CB0F12">
        <w:rPr>
          <w:rFonts w:ascii="Times New Roman" w:hAnsi="Times New Roman" w:cs="Times New Roman"/>
          <w:b/>
          <w:bCs/>
          <w:lang w:val="uk-UA"/>
        </w:rPr>
        <w:t>4</w:t>
      </w:r>
      <w:r w:rsidR="008331D9">
        <w:rPr>
          <w:rFonts w:ascii="Times New Roman" w:hAnsi="Times New Roman" w:cs="Times New Roman"/>
          <w:b/>
          <w:bCs/>
          <w:lang w:val="uk-UA"/>
        </w:rPr>
        <w:t>481</w:t>
      </w:r>
      <w:r w:rsidR="00CB0F12" w:rsidRPr="00CB0F12">
        <w:rPr>
          <w:rFonts w:ascii="Times New Roman" w:hAnsi="Times New Roman" w:cs="Times New Roman"/>
          <w:b/>
          <w:bCs/>
        </w:rPr>
        <w:t>/24</w:t>
      </w:r>
      <w:r w:rsidR="00CB0F12">
        <w:rPr>
          <w:rFonts w:ascii="Times New Roman" w:hAnsi="Times New Roman" w:cs="Times New Roman"/>
          <w:b/>
          <w:bCs/>
          <w:lang w:val="uk-UA"/>
        </w:rPr>
        <w:t xml:space="preserve"> від </w:t>
      </w:r>
      <w:r w:rsidR="008331D9">
        <w:rPr>
          <w:rFonts w:ascii="Times New Roman" w:hAnsi="Times New Roman" w:cs="Times New Roman"/>
          <w:b/>
          <w:bCs/>
          <w:lang w:val="uk-UA"/>
        </w:rPr>
        <w:t>03</w:t>
      </w:r>
      <w:r w:rsidR="00CB0F12">
        <w:rPr>
          <w:rFonts w:ascii="Times New Roman" w:hAnsi="Times New Roman" w:cs="Times New Roman"/>
          <w:b/>
          <w:bCs/>
          <w:lang w:val="uk-UA"/>
        </w:rPr>
        <w:t>.0</w:t>
      </w:r>
      <w:r w:rsidR="008331D9">
        <w:rPr>
          <w:rFonts w:ascii="Times New Roman" w:hAnsi="Times New Roman" w:cs="Times New Roman"/>
          <w:b/>
          <w:bCs/>
          <w:lang w:val="uk-UA"/>
        </w:rPr>
        <w:t>5</w:t>
      </w:r>
      <w:r w:rsidR="00CB0F12">
        <w:rPr>
          <w:rFonts w:ascii="Times New Roman" w:hAnsi="Times New Roman" w:cs="Times New Roman"/>
          <w:b/>
          <w:bCs/>
          <w:lang w:val="uk-UA"/>
        </w:rPr>
        <w:t>.2024</w:t>
      </w:r>
      <w:r w:rsidR="008F0E6E" w:rsidRPr="00554E35">
        <w:rPr>
          <w:rFonts w:ascii="Times New Roman" w:hAnsi="Times New Roman" w:cs="Times New Roman"/>
          <w:b/>
          <w:bCs/>
          <w:lang w:val="uk-UA"/>
        </w:rPr>
        <w:t xml:space="preserve"> </w:t>
      </w:r>
    </w:p>
    <w:tbl>
      <w:tblPr>
        <w:tblStyle w:val="a3"/>
        <w:tblW w:w="10632" w:type="dxa"/>
        <w:tblInd w:w="-572" w:type="dxa"/>
        <w:tblLook w:val="04A0" w:firstRow="1" w:lastRow="0" w:firstColumn="1" w:lastColumn="0" w:noHBand="0" w:noVBand="1"/>
      </w:tblPr>
      <w:tblGrid>
        <w:gridCol w:w="1701"/>
        <w:gridCol w:w="5387"/>
        <w:gridCol w:w="3544"/>
      </w:tblGrid>
      <w:tr w:rsidR="0039597C" w:rsidRPr="00554E35" w14:paraId="312B6331" w14:textId="77777777" w:rsidTr="00E23780">
        <w:tc>
          <w:tcPr>
            <w:tcW w:w="1701"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proofErr w:type="spellStart"/>
            <w:r w:rsidR="00B67377" w:rsidRPr="00554E35">
              <w:rPr>
                <w:rFonts w:ascii="Times New Roman" w:hAnsi="Times New Roman" w:cs="Times New Roman"/>
                <w:b/>
                <w:sz w:val="20"/>
                <w:szCs w:val="20"/>
                <w:lang w:val="uk-UA"/>
              </w:rPr>
              <w:t>пп</w:t>
            </w:r>
            <w:proofErr w:type="spellEnd"/>
            <w:r w:rsidR="00B67377" w:rsidRPr="00554E35">
              <w:rPr>
                <w:rFonts w:ascii="Times New Roman" w:hAnsi="Times New Roman" w:cs="Times New Roman"/>
                <w:b/>
                <w:sz w:val="20"/>
                <w:szCs w:val="20"/>
                <w:lang w:val="uk-UA"/>
              </w:rPr>
              <w:t>/п/розділу/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5387"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3544"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7B4300" w:rsidRPr="00554E35" w14:paraId="69F1EDE7" w14:textId="77777777" w:rsidTr="00E23780">
        <w:tc>
          <w:tcPr>
            <w:tcW w:w="1701" w:type="dxa"/>
          </w:tcPr>
          <w:p w14:paraId="6B1D7E7D" w14:textId="404DD393" w:rsidR="007B4300" w:rsidRPr="00554E35" w:rsidRDefault="007B4300" w:rsidP="0039597C">
            <w:pPr>
              <w:jc w:val="center"/>
              <w:rPr>
                <w:rFonts w:ascii="Times New Roman" w:hAnsi="Times New Roman" w:cs="Times New Roman"/>
                <w:b/>
                <w:sz w:val="20"/>
                <w:szCs w:val="20"/>
                <w:lang w:val="uk-UA"/>
              </w:rPr>
            </w:pPr>
            <w:r w:rsidRPr="008331D9">
              <w:rPr>
                <w:rFonts w:ascii="Times New Roman" w:hAnsi="Times New Roman" w:cs="Times New Roman"/>
                <w:b/>
                <w:sz w:val="16"/>
                <w:szCs w:val="16"/>
                <w:lang w:val="uk-UA"/>
              </w:rPr>
              <w:t xml:space="preserve">ч. </w:t>
            </w:r>
            <w:r w:rsidR="008331D9" w:rsidRPr="008331D9">
              <w:rPr>
                <w:rFonts w:ascii="Times New Roman" w:hAnsi="Times New Roman" w:cs="Times New Roman"/>
                <w:b/>
                <w:sz w:val="16"/>
                <w:szCs w:val="16"/>
                <w:lang w:val="uk-UA"/>
              </w:rPr>
              <w:t>5</w:t>
            </w:r>
            <w:r w:rsidRPr="008331D9">
              <w:rPr>
                <w:rFonts w:ascii="Times New Roman" w:hAnsi="Times New Roman" w:cs="Times New Roman"/>
                <w:b/>
                <w:sz w:val="16"/>
                <w:szCs w:val="16"/>
                <w:lang w:val="uk-UA"/>
              </w:rPr>
              <w:t xml:space="preserve"> </w:t>
            </w:r>
            <w:r w:rsidR="008331D9" w:rsidRPr="008331D9">
              <w:rPr>
                <w:rFonts w:ascii="Times New Roman" w:hAnsi="Times New Roman" w:cs="Times New Roman"/>
                <w:b/>
                <w:sz w:val="16"/>
                <w:szCs w:val="16"/>
                <w:lang w:val="uk-UA"/>
              </w:rPr>
              <w:t xml:space="preserve">Забезпечення виконання договору про закупівлю </w:t>
            </w:r>
            <w:r w:rsidR="009752D8" w:rsidRPr="008331D9">
              <w:rPr>
                <w:rFonts w:ascii="Times New Roman" w:hAnsi="Times New Roman" w:cs="Times New Roman"/>
                <w:b/>
                <w:sz w:val="16"/>
                <w:szCs w:val="16"/>
                <w:lang w:val="uk-UA"/>
              </w:rPr>
              <w:t xml:space="preserve">Розділ </w:t>
            </w:r>
            <w:r w:rsidR="008331D9" w:rsidRPr="008331D9">
              <w:rPr>
                <w:rFonts w:ascii="Times New Roman" w:hAnsi="Times New Roman" w:cs="Times New Roman"/>
                <w:b/>
                <w:sz w:val="16"/>
                <w:szCs w:val="16"/>
                <w:lang w:val="uk-UA"/>
              </w:rPr>
              <w:t>6</w:t>
            </w:r>
            <w:r w:rsidR="009752D8" w:rsidRPr="008331D9">
              <w:rPr>
                <w:rFonts w:ascii="Times New Roman" w:hAnsi="Times New Roman" w:cs="Times New Roman"/>
                <w:b/>
                <w:sz w:val="16"/>
                <w:szCs w:val="16"/>
                <w:lang w:val="uk-UA"/>
              </w:rPr>
              <w:t xml:space="preserve">. </w:t>
            </w:r>
            <w:r w:rsidR="008331D9" w:rsidRPr="008331D9">
              <w:rPr>
                <w:rFonts w:ascii="Times New Roman" w:hAnsi="Times New Roman" w:cs="Times New Roman"/>
                <w:b/>
                <w:sz w:val="16"/>
                <w:szCs w:val="16"/>
                <w:lang w:val="uk-UA"/>
              </w:rPr>
              <w:t xml:space="preserve">Результати торгів та укладання договору про закупівлю </w:t>
            </w:r>
            <w:r w:rsidRPr="008331D9">
              <w:rPr>
                <w:rFonts w:ascii="Times New Roman" w:hAnsi="Times New Roman" w:cs="Times New Roman"/>
                <w:b/>
                <w:sz w:val="16"/>
                <w:szCs w:val="16"/>
                <w:lang w:val="uk-UA"/>
              </w:rPr>
              <w:t xml:space="preserve">Тендерної документації </w:t>
            </w:r>
          </w:p>
        </w:tc>
        <w:tc>
          <w:tcPr>
            <w:tcW w:w="5387" w:type="dxa"/>
          </w:tcPr>
          <w:p w14:paraId="0EDC56BE" w14:textId="77777777" w:rsidR="008331D9" w:rsidRPr="008331D9" w:rsidRDefault="008331D9" w:rsidP="008331D9">
            <w:pPr>
              <w:shd w:val="clear" w:color="auto" w:fill="FFFFFF"/>
              <w:jc w:val="both"/>
              <w:rPr>
                <w:rFonts w:ascii="Times New Roman" w:hAnsi="Times New Roman" w:cs="Times New Roman"/>
                <w:sz w:val="18"/>
                <w:szCs w:val="18"/>
                <w:lang w:val="uk-UA"/>
              </w:rPr>
            </w:pPr>
            <w:r w:rsidRPr="008331D9">
              <w:rPr>
                <w:rFonts w:ascii="Times New Roman" w:hAnsi="Times New Roman" w:cs="Times New Roman"/>
                <w:sz w:val="18"/>
                <w:szCs w:val="18"/>
                <w:lang w:val="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5F88241" w14:textId="77777777" w:rsidR="008331D9" w:rsidRPr="008331D9" w:rsidRDefault="008331D9" w:rsidP="008331D9">
            <w:pPr>
              <w:ind w:right="120"/>
              <w:jc w:val="both"/>
              <w:rPr>
                <w:rFonts w:ascii="Times New Roman" w:hAnsi="Times New Roman" w:cs="Times New Roman"/>
                <w:color w:val="000000"/>
                <w:sz w:val="18"/>
                <w:szCs w:val="18"/>
                <w:lang w:val="uk-UA"/>
              </w:rPr>
            </w:pPr>
            <w:r w:rsidRPr="008331D9">
              <w:rPr>
                <w:rFonts w:ascii="Times New Roman" w:hAnsi="Times New Roman" w:cs="Times New Roman"/>
                <w:sz w:val="18"/>
                <w:szCs w:val="18"/>
                <w:lang w:val="uk-UA"/>
              </w:rPr>
              <w:t xml:space="preserve">Переможець процедури закупівлі не пізніше дати укладення договору про закупівлю </w:t>
            </w:r>
            <w:r w:rsidRPr="008331D9">
              <w:rPr>
                <w:rFonts w:ascii="Times New Roman" w:hAnsi="Times New Roman" w:cs="Times New Roman"/>
                <w:color w:val="000000"/>
                <w:sz w:val="18"/>
                <w:szCs w:val="18"/>
                <w:lang w:val="uk-UA"/>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9A9B92E"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Вид забезпечення виконання договору про закупівлю – банківська гарантія.</w:t>
            </w:r>
          </w:p>
          <w:p w14:paraId="1F31CAB7" w14:textId="77777777" w:rsidR="008331D9" w:rsidRPr="008331D9" w:rsidRDefault="008331D9" w:rsidP="008331D9">
            <w:pPr>
              <w:jc w:val="both"/>
              <w:rPr>
                <w:rFonts w:ascii="Times New Roman" w:hAnsi="Times New Roman" w:cs="Times New Roman"/>
                <w:b/>
                <w:color w:val="000000"/>
                <w:sz w:val="18"/>
                <w:szCs w:val="18"/>
                <w:lang w:val="uk-UA"/>
              </w:rPr>
            </w:pPr>
            <w:r w:rsidRPr="008331D9">
              <w:rPr>
                <w:rFonts w:ascii="Times New Roman" w:hAnsi="Times New Roman" w:cs="Times New Roman"/>
                <w:b/>
                <w:color w:val="000000"/>
                <w:sz w:val="18"/>
                <w:szCs w:val="18"/>
                <w:lang w:val="uk-UA"/>
              </w:rPr>
              <w:t>Розмір забезпечення виконання договору про закупівлю складає 5 % (п’ять відсотків) від вартості договору.</w:t>
            </w:r>
          </w:p>
          <w:p w14:paraId="543AA060" w14:textId="77777777" w:rsidR="008331D9" w:rsidRPr="008331D9" w:rsidRDefault="008331D9" w:rsidP="008331D9">
            <w:pPr>
              <w:ind w:right="120"/>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 xml:space="preserve">До уваги учасників інформація для оформлення банківської гарантії: </w:t>
            </w:r>
          </w:p>
          <w:p w14:paraId="6827712B" w14:textId="77777777" w:rsidR="008331D9" w:rsidRPr="008331D9" w:rsidRDefault="008331D9" w:rsidP="008331D9">
            <w:pPr>
              <w:ind w:right="120"/>
              <w:jc w:val="both"/>
              <w:rPr>
                <w:rFonts w:ascii="Times New Roman" w:hAnsi="Times New Roman"/>
                <w:sz w:val="18"/>
                <w:szCs w:val="18"/>
                <w:lang w:val="uk-UA"/>
              </w:rPr>
            </w:pPr>
            <w:r w:rsidRPr="008331D9">
              <w:rPr>
                <w:rFonts w:ascii="Times New Roman" w:hAnsi="Times New Roman" w:cs="Times New Roman"/>
                <w:color w:val="000000"/>
                <w:sz w:val="18"/>
                <w:szCs w:val="18"/>
                <w:lang w:val="uk-UA"/>
              </w:rPr>
              <w:t xml:space="preserve">Назва Замовника: </w:t>
            </w:r>
            <w:r w:rsidRPr="008331D9">
              <w:rPr>
                <w:rFonts w:ascii="Times New Roman" w:hAnsi="Times New Roman"/>
                <w:sz w:val="18"/>
                <w:szCs w:val="18"/>
                <w:lang w:val="uk-UA"/>
              </w:rPr>
              <w:t xml:space="preserve">ВІДДІЛ ОСВІТИ ЛИМАНСЬКОЇ СІЛЬСЬКОЇ РАДИ БІЛГОРОД-ДНІСТРОВСЬКОГО РАЙОНУ ОДЕСЬКОЇ ОБЛАСТІ </w:t>
            </w:r>
          </w:p>
          <w:p w14:paraId="4C2D66D9" w14:textId="77777777" w:rsidR="008331D9" w:rsidRPr="008331D9" w:rsidRDefault="008331D9" w:rsidP="008331D9">
            <w:pPr>
              <w:ind w:right="120"/>
              <w:jc w:val="both"/>
              <w:rPr>
                <w:rFonts w:ascii="Times New Roman" w:eastAsia="Times New Roman" w:hAnsi="Times New Roman" w:cs="Times New Roman"/>
                <w:sz w:val="18"/>
                <w:szCs w:val="18"/>
                <w:lang w:val="uk-UA"/>
              </w:rPr>
            </w:pPr>
            <w:r w:rsidRPr="008331D9">
              <w:rPr>
                <w:rFonts w:ascii="Times New Roman" w:hAnsi="Times New Roman" w:cs="Times New Roman"/>
                <w:color w:val="000000"/>
                <w:sz w:val="18"/>
                <w:szCs w:val="18"/>
                <w:lang w:val="uk-UA"/>
              </w:rPr>
              <w:t>Місцезнаходження Замовника:</w:t>
            </w:r>
            <w:r w:rsidRPr="008331D9">
              <w:rPr>
                <w:rFonts w:ascii="Times New Roman" w:eastAsia="Times New Roman" w:hAnsi="Times New Roman" w:cs="Times New Roman"/>
                <w:sz w:val="18"/>
                <w:szCs w:val="18"/>
                <w:lang w:val="uk-UA"/>
              </w:rPr>
              <w:t xml:space="preserve"> Україна, 68141, Одеська обл., Білгород-Дністровський р-н, село Лиман, </w:t>
            </w:r>
            <w:proofErr w:type="spellStart"/>
            <w:r w:rsidRPr="008331D9">
              <w:rPr>
                <w:rFonts w:ascii="Times New Roman" w:eastAsia="Times New Roman" w:hAnsi="Times New Roman" w:cs="Times New Roman"/>
                <w:sz w:val="18"/>
                <w:szCs w:val="18"/>
                <w:lang w:val="uk-UA"/>
              </w:rPr>
              <w:t>Лиманська</w:t>
            </w:r>
            <w:proofErr w:type="spellEnd"/>
            <w:r w:rsidRPr="008331D9">
              <w:rPr>
                <w:rFonts w:ascii="Times New Roman" w:eastAsia="Times New Roman" w:hAnsi="Times New Roman" w:cs="Times New Roman"/>
                <w:sz w:val="18"/>
                <w:szCs w:val="18"/>
                <w:lang w:val="uk-UA"/>
              </w:rPr>
              <w:t xml:space="preserve"> ТГ, вул. Героїв України, будинок 47А</w:t>
            </w:r>
          </w:p>
          <w:p w14:paraId="04CF5FB6" w14:textId="77777777" w:rsidR="008331D9" w:rsidRPr="008331D9" w:rsidRDefault="008331D9" w:rsidP="008331D9">
            <w:pPr>
              <w:ind w:right="120"/>
              <w:jc w:val="both"/>
              <w:rPr>
                <w:rFonts w:ascii="Times New Roman" w:hAnsi="Times New Roman" w:cs="Times New Roman"/>
                <w:bCs/>
                <w:sz w:val="18"/>
                <w:szCs w:val="18"/>
                <w:lang w:val="uk-UA"/>
              </w:rPr>
            </w:pPr>
            <w:r w:rsidRPr="008331D9">
              <w:rPr>
                <w:rFonts w:ascii="Times New Roman" w:hAnsi="Times New Roman" w:cs="Times New Roman"/>
                <w:color w:val="000000"/>
                <w:sz w:val="18"/>
                <w:szCs w:val="18"/>
                <w:lang w:val="uk-UA"/>
              </w:rPr>
              <w:t xml:space="preserve">Код ЄДРПОУ: </w:t>
            </w:r>
            <w:r w:rsidRPr="008331D9">
              <w:rPr>
                <w:rFonts w:ascii="Times New Roman" w:hAnsi="Times New Roman"/>
                <w:sz w:val="18"/>
                <w:szCs w:val="18"/>
                <w:lang w:val="uk-UA"/>
              </w:rPr>
              <w:t>44014080</w:t>
            </w:r>
          </w:p>
          <w:p w14:paraId="22978A88"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Банківська гарантія повинна діяти до 31.12.2024.</w:t>
            </w:r>
          </w:p>
          <w:p w14:paraId="2AAA4CD6"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25287E1"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1333B049"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Банк, яким видана гарантія, за офіційними даними НБУ повинен бути платоспроможним та не знаходитись в стадії ліквідації.</w:t>
            </w:r>
          </w:p>
          <w:p w14:paraId="40FEA96D"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b/>
                <w:color w:val="000000"/>
                <w:sz w:val="18"/>
                <w:szCs w:val="18"/>
                <w:u w:val="single"/>
                <w:lang w:val="uk-UA"/>
              </w:rPr>
              <w:t>У разі якщо Переможець є нерезидентом</w:t>
            </w:r>
            <w:r w:rsidRPr="008331D9">
              <w:rPr>
                <w:rFonts w:ascii="Times New Roman" w:hAnsi="Times New Roman" w:cs="Times New Roman"/>
                <w:color w:val="000000"/>
                <w:sz w:val="18"/>
                <w:szCs w:val="18"/>
                <w:lang w:val="uk-UA"/>
              </w:rPr>
              <w:t xml:space="preserve">, він може надати забезпечення виконання договору про закупівлю у національній валюті країни замовника </w:t>
            </w:r>
            <w:r w:rsidRPr="008331D9">
              <w:rPr>
                <w:rFonts w:ascii="Times New Roman" w:hAnsi="Times New Roman" w:cs="Times New Roman"/>
                <w:sz w:val="18"/>
                <w:szCs w:val="18"/>
                <w:lang w:val="uk-UA"/>
              </w:rPr>
              <w:t>—</w:t>
            </w:r>
            <w:r w:rsidRPr="008331D9">
              <w:rPr>
                <w:rFonts w:ascii="Times New Roman" w:hAnsi="Times New Roman" w:cs="Times New Roman"/>
                <w:color w:val="000000"/>
                <w:sz w:val="18"/>
                <w:szCs w:val="18"/>
                <w:lang w:val="uk-UA"/>
              </w:rPr>
              <w:t xml:space="preserve"> гривні  на суму 5 % (п’ять відсотків) від вартості договору в еквіваленті, що перерахована на дату оформлення банківської гарантії за офіційним курсом Національного банку.</w:t>
            </w:r>
          </w:p>
          <w:p w14:paraId="04B68A53"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Замовник повертає забезпечення виконання договору про закупівлю:</w:t>
            </w:r>
          </w:p>
          <w:p w14:paraId="69E54FD1"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1) після виконання переможцем процедури закупівлі договору про закупівлю;</w:t>
            </w:r>
          </w:p>
          <w:p w14:paraId="1D33F193"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CC75669"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 xml:space="preserve">3) у випадках, передбачених статтею </w:t>
            </w:r>
            <w:r w:rsidRPr="008331D9">
              <w:rPr>
                <w:rFonts w:ascii="Times New Roman" w:hAnsi="Times New Roman" w:cs="Times New Roman"/>
                <w:sz w:val="18"/>
                <w:szCs w:val="18"/>
                <w:lang w:val="uk-UA"/>
              </w:rPr>
              <w:t>21</w:t>
            </w:r>
            <w:r w:rsidRPr="008331D9">
              <w:rPr>
                <w:rFonts w:ascii="Times New Roman" w:hAnsi="Times New Roman" w:cs="Times New Roman"/>
                <w:color w:val="000000"/>
                <w:sz w:val="18"/>
                <w:szCs w:val="18"/>
                <w:lang w:val="uk-UA"/>
              </w:rPr>
              <w:t xml:space="preserve"> </w:t>
            </w:r>
            <w:r w:rsidRPr="008331D9">
              <w:rPr>
                <w:rFonts w:ascii="Times New Roman" w:hAnsi="Times New Roman" w:cs="Times New Roman"/>
                <w:sz w:val="18"/>
                <w:szCs w:val="18"/>
                <w:lang w:val="uk-UA"/>
              </w:rPr>
              <w:t>Особливостей</w:t>
            </w:r>
            <w:r w:rsidRPr="008331D9">
              <w:rPr>
                <w:rFonts w:ascii="Times New Roman" w:hAnsi="Times New Roman" w:cs="Times New Roman"/>
                <w:color w:val="000000"/>
                <w:sz w:val="18"/>
                <w:szCs w:val="18"/>
                <w:lang w:val="uk-UA"/>
              </w:rPr>
              <w:t>;</w:t>
            </w:r>
          </w:p>
          <w:p w14:paraId="364AFB52"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5985852" w14:textId="77777777" w:rsidR="008331D9"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Усі витрати пов’язані з наданням забезпечення виконання договору про закупівлю здійснюються за рахунок коштів Переможця.</w:t>
            </w:r>
          </w:p>
          <w:p w14:paraId="70813254" w14:textId="77777777" w:rsidR="008331D9" w:rsidRPr="008331D9" w:rsidRDefault="008331D9" w:rsidP="008331D9">
            <w:pPr>
              <w:jc w:val="both"/>
              <w:rPr>
                <w:rFonts w:ascii="Times New Roman" w:hAnsi="Times New Roman" w:cs="Times New Roman"/>
                <w:color w:val="000000"/>
                <w:sz w:val="18"/>
                <w:szCs w:val="18"/>
                <w:lang w:val="uk-UA"/>
              </w:rPr>
            </w:pPr>
            <w:r w:rsidRPr="008331D9">
              <w:rPr>
                <w:rFonts w:ascii="Times New Roman" w:hAnsi="Times New Roman" w:cs="Times New Roman"/>
                <w:color w:val="000000"/>
                <w:sz w:val="18"/>
                <w:szCs w:val="18"/>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8331D9">
              <w:rPr>
                <w:rFonts w:ascii="Times New Roman" w:hAnsi="Times New Roman" w:cs="Times New Roman"/>
                <w:sz w:val="18"/>
                <w:szCs w:val="18"/>
                <w:lang w:val="uk-UA"/>
              </w:rPr>
              <w:t>—</w:t>
            </w:r>
            <w:r w:rsidRPr="008331D9">
              <w:rPr>
                <w:rFonts w:ascii="Times New Roman" w:hAnsi="Times New Roman" w:cs="Times New Roman"/>
                <w:color w:val="000000"/>
                <w:sz w:val="18"/>
                <w:szCs w:val="18"/>
                <w:lang w:val="uk-UA"/>
              </w:rPr>
              <w:t xml:space="preserve"> перераховуються на рахунок таких замовників. Учасник повинен надати в складі тендерної пропозиції гарантійний лист </w:t>
            </w:r>
            <w:r w:rsidRPr="008331D9">
              <w:rPr>
                <w:rFonts w:ascii="Times New Roman" w:hAnsi="Times New Roman" w:cs="Times New Roman"/>
                <w:color w:val="000000"/>
                <w:sz w:val="18"/>
                <w:szCs w:val="18"/>
                <w:lang w:val="uk-UA"/>
              </w:rPr>
              <w:lastRenderedPageBreak/>
              <w:t>щодо надання у разі перемоги забезпечення виконання договору про закупівлю на умовах передбачених цією Тендерною документацією.</w:t>
            </w:r>
          </w:p>
          <w:p w14:paraId="658A60CB" w14:textId="2774BA20" w:rsidR="007B4300" w:rsidRPr="008331D9" w:rsidRDefault="008331D9" w:rsidP="008331D9">
            <w:pPr>
              <w:jc w:val="both"/>
              <w:rPr>
                <w:rFonts w:ascii="Times New Roman" w:hAnsi="Times New Roman" w:cs="Times New Roman"/>
                <w:sz w:val="18"/>
                <w:szCs w:val="18"/>
                <w:lang w:val="uk-UA"/>
              </w:rPr>
            </w:pPr>
            <w:r w:rsidRPr="008331D9">
              <w:rPr>
                <w:rFonts w:ascii="Times New Roman" w:hAnsi="Times New Roman" w:cs="Times New Roman"/>
                <w:color w:val="000000"/>
                <w:sz w:val="18"/>
                <w:szCs w:val="18"/>
                <w:lang w:val="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8331D9">
              <w:rPr>
                <w:rFonts w:ascii="Times New Roman" w:hAnsi="Times New Roman" w:cs="Times New Roman"/>
                <w:color w:val="000000"/>
                <w:sz w:val="18"/>
                <w:szCs w:val="18"/>
                <w:lang w:val="uk-UA"/>
              </w:rPr>
              <w:t>бенефіціар</w:t>
            </w:r>
            <w:proofErr w:type="spellEnd"/>
            <w:r w:rsidRPr="008331D9">
              <w:rPr>
                <w:rFonts w:ascii="Times New Roman" w:hAnsi="Times New Roman" w:cs="Times New Roman"/>
                <w:color w:val="000000"/>
                <w:sz w:val="18"/>
                <w:szCs w:val="18"/>
                <w:lang w:val="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8331D9">
              <w:rPr>
                <w:rFonts w:ascii="Times New Roman" w:hAnsi="Times New Roman" w:cs="Times New Roman"/>
                <w:color w:val="000000"/>
                <w:sz w:val="18"/>
                <w:szCs w:val="18"/>
                <w:lang w:val="uk-UA"/>
              </w:rPr>
              <w:t>заявлення</w:t>
            </w:r>
            <w:proofErr w:type="spellEnd"/>
            <w:r w:rsidRPr="008331D9">
              <w:rPr>
                <w:rFonts w:ascii="Times New Roman" w:hAnsi="Times New Roman" w:cs="Times New Roman"/>
                <w:color w:val="000000"/>
                <w:sz w:val="18"/>
                <w:szCs w:val="18"/>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8331D9">
              <w:rPr>
                <w:rFonts w:ascii="Times New Roman" w:hAnsi="Times New Roman" w:cs="Times New Roman"/>
                <w:color w:val="000000"/>
                <w:sz w:val="18"/>
                <w:szCs w:val="18"/>
                <w:lang w:val="uk-UA"/>
              </w:rPr>
              <w:t>вимозі</w:t>
            </w:r>
            <w:proofErr w:type="spellEnd"/>
            <w:r w:rsidRPr="008331D9">
              <w:rPr>
                <w:rFonts w:ascii="Times New Roman" w:hAnsi="Times New Roman" w:cs="Times New Roman"/>
                <w:color w:val="000000"/>
                <w:sz w:val="18"/>
                <w:szCs w:val="18"/>
                <w:lang w:val="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c>
          <w:tcPr>
            <w:tcW w:w="3544" w:type="dxa"/>
          </w:tcPr>
          <w:p w14:paraId="08B02E6E" w14:textId="0A5D130F" w:rsidR="007B4300" w:rsidRPr="008331D9" w:rsidRDefault="008331D9" w:rsidP="00CB0F12">
            <w:pPr>
              <w:jc w:val="both"/>
              <w:rPr>
                <w:rFonts w:ascii="Times New Roman" w:hAnsi="Times New Roman" w:cs="Times New Roman"/>
                <w:b/>
                <w:sz w:val="18"/>
                <w:szCs w:val="18"/>
                <w:lang w:val="uk-UA"/>
              </w:rPr>
            </w:pPr>
            <w:r w:rsidRPr="008331D9">
              <w:rPr>
                <w:rFonts w:ascii="Times New Roman" w:eastAsia="Times New Roman" w:hAnsi="Times New Roman" w:cs="Times New Roman"/>
                <w:sz w:val="18"/>
                <w:szCs w:val="18"/>
                <w:highlight w:val="yellow"/>
                <w:lang w:val="uk-UA"/>
              </w:rPr>
              <w:lastRenderedPageBreak/>
              <w:t>Не вимагається.</w:t>
            </w:r>
          </w:p>
        </w:tc>
      </w:tr>
      <w:tr w:rsidR="008331D9" w:rsidRPr="00E23780" w14:paraId="7CA56150" w14:textId="77777777" w:rsidTr="00E23780">
        <w:tc>
          <w:tcPr>
            <w:tcW w:w="1701" w:type="dxa"/>
          </w:tcPr>
          <w:p w14:paraId="256F5502" w14:textId="5C282DA1" w:rsidR="008331D9" w:rsidRPr="008331D9" w:rsidRDefault="008331D9" w:rsidP="0039597C">
            <w:pPr>
              <w:jc w:val="center"/>
              <w:rPr>
                <w:rFonts w:ascii="Times New Roman" w:hAnsi="Times New Roman" w:cs="Times New Roman"/>
                <w:b/>
                <w:bCs/>
                <w:sz w:val="16"/>
                <w:szCs w:val="16"/>
                <w:lang w:val="uk-UA"/>
              </w:rPr>
            </w:pPr>
            <w:r>
              <w:rPr>
                <w:rFonts w:ascii="Times New Roman" w:hAnsi="Times New Roman" w:cs="Times New Roman"/>
                <w:b/>
                <w:sz w:val="16"/>
                <w:szCs w:val="16"/>
                <w:lang w:val="uk-UA"/>
              </w:rPr>
              <w:t>п</w:t>
            </w:r>
            <w:r w:rsidRPr="008331D9">
              <w:rPr>
                <w:rFonts w:ascii="Times New Roman" w:hAnsi="Times New Roman" w:cs="Times New Roman"/>
                <w:b/>
                <w:sz w:val="16"/>
                <w:szCs w:val="16"/>
                <w:lang w:val="uk-UA"/>
              </w:rPr>
              <w:t xml:space="preserve">. 1 </w:t>
            </w:r>
            <w:r w:rsidRPr="008331D9">
              <w:rPr>
                <w:rFonts w:ascii="Times New Roman" w:hAnsi="Times New Roman" w:cs="Times New Roman"/>
                <w:b/>
                <w:bCs/>
                <w:sz w:val="16"/>
                <w:szCs w:val="16"/>
                <w:lang w:val="uk-UA"/>
              </w:rPr>
              <w:t xml:space="preserve">Наявність в </w:t>
            </w:r>
          </w:p>
          <w:p w14:paraId="2E95AB58" w14:textId="77777777" w:rsidR="008331D9" w:rsidRPr="008331D9" w:rsidRDefault="008331D9" w:rsidP="008331D9">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учасника процедури </w:t>
            </w:r>
          </w:p>
          <w:p w14:paraId="61A0B876" w14:textId="77777777" w:rsidR="008331D9" w:rsidRPr="008331D9" w:rsidRDefault="008331D9" w:rsidP="008331D9">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закупівлі обладнання, </w:t>
            </w:r>
          </w:p>
          <w:p w14:paraId="2A7F7D88" w14:textId="7432F2FD" w:rsidR="008331D9" w:rsidRPr="008331D9" w:rsidRDefault="008331D9" w:rsidP="008331D9">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матеріально-</w:t>
            </w:r>
          </w:p>
          <w:p w14:paraId="18DE9EBC"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технічної бази та </w:t>
            </w:r>
          </w:p>
          <w:p w14:paraId="4CE1165C"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технологій ч. 1 </w:t>
            </w:r>
          </w:p>
          <w:p w14:paraId="5E6C7C4D"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Перелік документів </w:t>
            </w:r>
          </w:p>
          <w:p w14:paraId="514246EC"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та інформації  для </w:t>
            </w:r>
          </w:p>
          <w:p w14:paraId="19FD9044"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підтвердження </w:t>
            </w:r>
          </w:p>
          <w:p w14:paraId="682BE622"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відповідності УЧАСНИКА  </w:t>
            </w:r>
          </w:p>
          <w:p w14:paraId="6B2EC26A"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кваліфікаційним критеріям, </w:t>
            </w:r>
          </w:p>
          <w:p w14:paraId="2687A1DF"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визначеним у </w:t>
            </w:r>
          </w:p>
          <w:p w14:paraId="5538D5E0"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статті 16 Закону </w:t>
            </w:r>
          </w:p>
          <w:p w14:paraId="27BCF6C7" w14:textId="77777777" w:rsidR="008331D9" w:rsidRPr="008331D9" w:rsidRDefault="008331D9" w:rsidP="0039597C">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«Про публічні</w:t>
            </w:r>
          </w:p>
          <w:p w14:paraId="6B04B09E" w14:textId="28A7AF21" w:rsidR="008331D9" w:rsidRPr="008331D9" w:rsidRDefault="008331D9" w:rsidP="008331D9">
            <w:pPr>
              <w:jc w:val="center"/>
              <w:rPr>
                <w:rFonts w:ascii="Times New Roman" w:hAnsi="Times New Roman" w:cs="Times New Roman"/>
                <w:b/>
                <w:bCs/>
                <w:sz w:val="16"/>
                <w:szCs w:val="16"/>
                <w:lang w:val="uk-UA"/>
              </w:rPr>
            </w:pPr>
            <w:r w:rsidRPr="008331D9">
              <w:rPr>
                <w:rFonts w:ascii="Times New Roman" w:hAnsi="Times New Roman" w:cs="Times New Roman"/>
                <w:b/>
                <w:bCs/>
                <w:sz w:val="16"/>
                <w:szCs w:val="16"/>
                <w:lang w:val="uk-UA"/>
              </w:rPr>
              <w:t xml:space="preserve"> закупівлі» Додатку 1 до Тендерної документації </w:t>
            </w:r>
          </w:p>
        </w:tc>
        <w:tc>
          <w:tcPr>
            <w:tcW w:w="5387" w:type="dxa"/>
          </w:tcPr>
          <w:p w14:paraId="71D93286" w14:textId="77777777" w:rsidR="008331D9" w:rsidRPr="008331D9" w:rsidRDefault="008331D9" w:rsidP="008331D9">
            <w:pPr>
              <w:jc w:val="both"/>
              <w:rPr>
                <w:rFonts w:ascii="Times New Roman" w:hAnsi="Times New Roman" w:cs="Times New Roman"/>
                <w:sz w:val="18"/>
                <w:szCs w:val="14"/>
                <w:lang w:val="uk-UA"/>
              </w:rPr>
            </w:pPr>
            <w:r w:rsidRPr="008331D9">
              <w:rPr>
                <w:rFonts w:ascii="Times New Roman" w:hAnsi="Times New Roman" w:cs="Times New Roman"/>
                <w:sz w:val="18"/>
                <w:szCs w:val="14"/>
                <w:lang w:val="uk-UA"/>
              </w:rPr>
              <w:t xml:space="preserve">1.1. Наявність </w:t>
            </w:r>
            <w:r w:rsidRPr="008331D9">
              <w:rPr>
                <w:rFonts w:ascii="Times New Roman" w:hAnsi="Times New Roman" w:cs="Times New Roman"/>
                <w:sz w:val="18"/>
                <w:szCs w:val="14"/>
                <w:shd w:val="clear" w:color="auto" w:fill="FFFFFF"/>
                <w:lang w:val="uk-UA"/>
              </w:rPr>
              <w:t>обладнання, матеріально-технічної бази та технологій</w:t>
            </w:r>
            <w:r w:rsidRPr="008331D9">
              <w:rPr>
                <w:rFonts w:ascii="Times New Roman" w:hAnsi="Times New Roman" w:cs="Times New Roman"/>
                <w:sz w:val="18"/>
                <w:szCs w:val="14"/>
                <w:lang w:val="uk-UA"/>
              </w:rPr>
              <w:t>:</w:t>
            </w:r>
          </w:p>
          <w:p w14:paraId="2DF89D27" w14:textId="347436CA" w:rsidR="008331D9" w:rsidRPr="008331D9" w:rsidRDefault="008331D9" w:rsidP="008331D9">
            <w:pPr>
              <w:shd w:val="clear" w:color="auto" w:fill="FFFFFF"/>
              <w:jc w:val="both"/>
              <w:rPr>
                <w:rFonts w:ascii="Times New Roman" w:hAnsi="Times New Roman" w:cs="Times New Roman"/>
                <w:sz w:val="18"/>
                <w:szCs w:val="14"/>
                <w:lang w:val="uk-UA"/>
              </w:rPr>
            </w:pPr>
            <w:r w:rsidRPr="008331D9">
              <w:rPr>
                <w:rFonts w:ascii="Times New Roman" w:hAnsi="Times New Roman" w:cs="Times New Roman"/>
                <w:sz w:val="18"/>
                <w:szCs w:val="14"/>
                <w:lang w:val="uk-UA"/>
              </w:rPr>
              <w:t xml:space="preserve">1.1.1 </w:t>
            </w:r>
            <w:r w:rsidRPr="008331D9">
              <w:rPr>
                <w:rFonts w:ascii="Times New Roman" w:eastAsia="Courier New" w:hAnsi="Times New Roman" w:cs="Times New Roman"/>
                <w:sz w:val="18"/>
                <w:szCs w:val="14"/>
                <w:lang w:val="uk-UA"/>
              </w:rPr>
              <w:t xml:space="preserve">Довідка в довільній формі, що містить </w:t>
            </w:r>
            <w:r w:rsidRPr="008331D9">
              <w:rPr>
                <w:rFonts w:ascii="Times New Roman" w:hAnsi="Times New Roman" w:cs="Times New Roman"/>
                <w:sz w:val="18"/>
                <w:szCs w:val="14"/>
                <w:lang w:val="uk-UA"/>
              </w:rPr>
              <w:t xml:space="preserve">відомості про наявність у учасника </w:t>
            </w:r>
            <w:r w:rsidRPr="008331D9">
              <w:rPr>
                <w:rFonts w:ascii="Times New Roman" w:hAnsi="Times New Roman" w:cs="Times New Roman"/>
                <w:sz w:val="18"/>
                <w:szCs w:val="14"/>
                <w:shd w:val="clear" w:color="auto" w:fill="FFFFFF"/>
                <w:lang w:val="uk-UA"/>
              </w:rPr>
              <w:t>матеріально-технічної бази необхідної для виконання умов договору.</w:t>
            </w:r>
          </w:p>
        </w:tc>
        <w:tc>
          <w:tcPr>
            <w:tcW w:w="3544" w:type="dxa"/>
          </w:tcPr>
          <w:p w14:paraId="5D53FE9D" w14:textId="77777777" w:rsidR="008331D9" w:rsidRPr="008331D9" w:rsidRDefault="008331D9" w:rsidP="008331D9">
            <w:pPr>
              <w:jc w:val="both"/>
              <w:rPr>
                <w:rFonts w:ascii="Times New Roman" w:hAnsi="Times New Roman" w:cs="Times New Roman"/>
                <w:sz w:val="18"/>
                <w:szCs w:val="14"/>
                <w:highlight w:val="yellow"/>
                <w:lang w:val="uk-UA"/>
              </w:rPr>
            </w:pPr>
            <w:r w:rsidRPr="008331D9">
              <w:rPr>
                <w:rFonts w:ascii="Times New Roman" w:hAnsi="Times New Roman" w:cs="Times New Roman"/>
                <w:sz w:val="18"/>
                <w:szCs w:val="14"/>
                <w:highlight w:val="yellow"/>
                <w:lang w:val="uk-UA"/>
              </w:rPr>
              <w:t xml:space="preserve">1.1. Наявність </w:t>
            </w:r>
            <w:r w:rsidRPr="008331D9">
              <w:rPr>
                <w:rFonts w:ascii="Times New Roman" w:hAnsi="Times New Roman" w:cs="Times New Roman"/>
                <w:sz w:val="18"/>
                <w:szCs w:val="14"/>
                <w:highlight w:val="yellow"/>
                <w:shd w:val="clear" w:color="auto" w:fill="FFFFFF"/>
                <w:lang w:val="uk-UA"/>
              </w:rPr>
              <w:t>обладнання, матеріально-технічної бази та технологій</w:t>
            </w:r>
            <w:r w:rsidRPr="008331D9">
              <w:rPr>
                <w:rFonts w:ascii="Times New Roman" w:hAnsi="Times New Roman" w:cs="Times New Roman"/>
                <w:sz w:val="18"/>
                <w:szCs w:val="14"/>
                <w:highlight w:val="yellow"/>
                <w:lang w:val="uk-UA"/>
              </w:rPr>
              <w:t>:</w:t>
            </w:r>
          </w:p>
          <w:p w14:paraId="7A5BC046" w14:textId="77777777" w:rsidR="008331D9" w:rsidRPr="008331D9" w:rsidRDefault="008331D9" w:rsidP="008331D9">
            <w:pPr>
              <w:jc w:val="both"/>
              <w:rPr>
                <w:rFonts w:ascii="Times New Roman" w:hAnsi="Times New Roman" w:cs="Times New Roman"/>
                <w:sz w:val="18"/>
                <w:szCs w:val="14"/>
                <w:highlight w:val="yellow"/>
                <w:lang w:val="uk-UA"/>
              </w:rPr>
            </w:pPr>
            <w:r w:rsidRPr="008331D9">
              <w:rPr>
                <w:rFonts w:ascii="Times New Roman" w:hAnsi="Times New Roman" w:cs="Times New Roman"/>
                <w:sz w:val="18"/>
                <w:szCs w:val="14"/>
                <w:highlight w:val="yellow"/>
                <w:lang w:val="uk-UA"/>
              </w:rPr>
              <w:t xml:space="preserve">1.1.1 </w:t>
            </w:r>
            <w:r w:rsidRPr="008331D9">
              <w:rPr>
                <w:rFonts w:ascii="Times New Roman" w:eastAsia="Courier New" w:hAnsi="Times New Roman" w:cs="Times New Roman"/>
                <w:sz w:val="18"/>
                <w:szCs w:val="14"/>
                <w:highlight w:val="yellow"/>
                <w:lang w:val="uk-UA"/>
              </w:rPr>
              <w:t xml:space="preserve">Довідка в довільній формі, що містить </w:t>
            </w:r>
            <w:r w:rsidRPr="008331D9">
              <w:rPr>
                <w:rFonts w:ascii="Times New Roman" w:hAnsi="Times New Roman" w:cs="Times New Roman"/>
                <w:sz w:val="18"/>
                <w:szCs w:val="14"/>
                <w:highlight w:val="yellow"/>
                <w:lang w:val="uk-UA"/>
              </w:rPr>
              <w:t xml:space="preserve">відомості про наявність у учасника складських приміщень (далі за текстом – Складське приміщення), що знаходяться в радіусі 30 км. (по прямій лінії) від </w:t>
            </w:r>
            <w:r w:rsidRPr="008331D9">
              <w:rPr>
                <w:rFonts w:ascii="Times New Roman" w:eastAsia="Times New Roman" w:hAnsi="Times New Roman" w:cs="Times New Roman"/>
                <w:bCs/>
                <w:sz w:val="18"/>
                <w:szCs w:val="14"/>
                <w:highlight w:val="yellow"/>
                <w:lang w:val="uk-UA"/>
              </w:rPr>
              <w:t xml:space="preserve">місцезнаходження Замовника (Україна, 68141, Одеська обл., Білгород-Дністровський р-н, село Лиман, </w:t>
            </w:r>
            <w:proofErr w:type="spellStart"/>
            <w:r w:rsidRPr="008331D9">
              <w:rPr>
                <w:rFonts w:ascii="Times New Roman" w:eastAsia="Times New Roman" w:hAnsi="Times New Roman" w:cs="Times New Roman"/>
                <w:bCs/>
                <w:sz w:val="18"/>
                <w:szCs w:val="14"/>
                <w:highlight w:val="yellow"/>
                <w:lang w:val="uk-UA"/>
              </w:rPr>
              <w:t>Лиманська</w:t>
            </w:r>
            <w:proofErr w:type="spellEnd"/>
            <w:r w:rsidRPr="008331D9">
              <w:rPr>
                <w:rFonts w:ascii="Times New Roman" w:eastAsia="Times New Roman" w:hAnsi="Times New Roman" w:cs="Times New Roman"/>
                <w:bCs/>
                <w:sz w:val="18"/>
                <w:szCs w:val="14"/>
                <w:highlight w:val="yellow"/>
                <w:lang w:val="uk-UA"/>
              </w:rPr>
              <w:t xml:space="preserve"> ТГ, вул. Героїв України, будинок 47А).</w:t>
            </w:r>
            <w:r w:rsidRPr="008331D9">
              <w:rPr>
                <w:rFonts w:ascii="Times New Roman" w:hAnsi="Times New Roman" w:cs="Times New Roman"/>
                <w:sz w:val="18"/>
                <w:szCs w:val="14"/>
                <w:highlight w:val="yellow"/>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 </w:t>
            </w:r>
          </w:p>
          <w:p w14:paraId="2CEC2535" w14:textId="77777777" w:rsidR="008331D9" w:rsidRPr="008331D9" w:rsidRDefault="008331D9" w:rsidP="008331D9">
            <w:pPr>
              <w:jc w:val="both"/>
              <w:rPr>
                <w:rFonts w:ascii="Times New Roman" w:hAnsi="Times New Roman" w:cs="Times New Roman"/>
                <w:sz w:val="18"/>
                <w:szCs w:val="14"/>
                <w:highlight w:val="yellow"/>
                <w:lang w:val="uk-UA"/>
              </w:rPr>
            </w:pPr>
            <w:r w:rsidRPr="008331D9">
              <w:rPr>
                <w:rFonts w:ascii="Times New Roman" w:hAnsi="Times New Roman" w:cs="Times New Roman"/>
                <w:sz w:val="18"/>
                <w:szCs w:val="14"/>
                <w:highlight w:val="yellow"/>
                <w:lang w:val="uk-UA"/>
              </w:rPr>
              <w:t xml:space="preserve">1.1.2. </w:t>
            </w:r>
            <w:r w:rsidRPr="008331D9">
              <w:rPr>
                <w:rFonts w:ascii="Times New Roman" w:eastAsia="Courier New" w:hAnsi="Times New Roman" w:cs="Times New Roman"/>
                <w:sz w:val="18"/>
                <w:szCs w:val="14"/>
                <w:highlight w:val="yellow"/>
                <w:lang w:val="uk-UA"/>
              </w:rPr>
              <w:t>Довідка в довільній формі, що містить</w:t>
            </w:r>
            <w:r w:rsidRPr="008331D9">
              <w:rPr>
                <w:rFonts w:ascii="Times New Roman" w:hAnsi="Times New Roman" w:cs="Times New Roman"/>
                <w:sz w:val="18"/>
                <w:szCs w:val="14"/>
                <w:highlight w:val="yellow"/>
                <w:lang w:val="uk-UA"/>
              </w:rPr>
              <w:t xml:space="preserve"> інформацію про наявність у учасника у Складському приміщенні запасів предмету закупівлі в кількості </w:t>
            </w:r>
            <w:r w:rsidRPr="008331D9">
              <w:rPr>
                <w:rFonts w:ascii="Times New Roman CYR" w:hAnsi="Times New Roman CYR" w:cs="Times New Roman CYR"/>
                <w:color w:val="000000"/>
                <w:sz w:val="18"/>
                <w:szCs w:val="14"/>
                <w:highlight w:val="yellow"/>
                <w:lang w:val="uk-UA"/>
              </w:rPr>
              <w:t>в кількості не менш ніж 5 % (або не менше 1 одиниці, у разі коли 5 % від заявленої кількості, складає менше однієї одиниці) від обсягу по кожній позиції асортименту предмету закупівлі</w:t>
            </w:r>
            <w:r w:rsidRPr="008331D9">
              <w:rPr>
                <w:rFonts w:ascii="Times New Roman" w:hAnsi="Times New Roman" w:cs="Times New Roman"/>
                <w:sz w:val="18"/>
                <w:szCs w:val="14"/>
                <w:highlight w:val="yellow"/>
                <w:lang w:val="uk-UA"/>
              </w:rPr>
              <w:t xml:space="preserve">, а також, що містить прізвище, ім’я та по-батькові уповноваженого представника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учаснику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w:t>
            </w:r>
          </w:p>
          <w:p w14:paraId="35B1AF78" w14:textId="7A5C2BC1" w:rsidR="008331D9" w:rsidRPr="008331D9" w:rsidRDefault="008331D9" w:rsidP="008331D9">
            <w:pPr>
              <w:jc w:val="both"/>
              <w:rPr>
                <w:rFonts w:ascii="Times New Roman" w:eastAsia="Times New Roman" w:hAnsi="Times New Roman" w:cs="Times New Roman"/>
                <w:sz w:val="18"/>
                <w:szCs w:val="14"/>
                <w:lang w:val="uk-UA"/>
              </w:rPr>
            </w:pPr>
            <w:r w:rsidRPr="008331D9">
              <w:rPr>
                <w:rFonts w:ascii="Times New Roman" w:hAnsi="Times New Roman" w:cs="Times New Roman"/>
                <w:sz w:val="18"/>
                <w:szCs w:val="14"/>
                <w:highlight w:val="yellow"/>
                <w:lang w:val="uk-UA"/>
              </w:rPr>
              <w:t>1.1.2.1. Замовник має право здійснити виїзд на місце знаходження Складських приміщень, зазначених в тендерній пропозиції учасника та скласти відповідний комісійний акт (про згоду з чим учасник має надати довідку в довільній формі в складі тендерної пропозиції).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тендерної пропозиції такого учасника.</w:t>
            </w:r>
          </w:p>
        </w:tc>
      </w:tr>
    </w:tbl>
    <w:p w14:paraId="7D9665C9" w14:textId="77777777" w:rsidR="0039597C" w:rsidRPr="00554E35" w:rsidRDefault="0039597C" w:rsidP="00E23780">
      <w:pPr>
        <w:rPr>
          <w:rFonts w:ascii="Times New Roman" w:hAnsi="Times New Roman" w:cs="Times New Roman"/>
          <w:lang w:val="uk-UA"/>
        </w:rPr>
      </w:pPr>
    </w:p>
    <w:sectPr w:rsidR="0039597C" w:rsidRPr="00554E35" w:rsidSect="00E23780">
      <w:pgSz w:w="11900" w:h="16840"/>
      <w:pgMar w:top="851"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94B1" w14:textId="77777777" w:rsidR="00E23780" w:rsidRDefault="00E23780" w:rsidP="00E23780">
      <w:r>
        <w:separator/>
      </w:r>
    </w:p>
  </w:endnote>
  <w:endnote w:type="continuationSeparator" w:id="0">
    <w:p w14:paraId="175C37FE" w14:textId="77777777" w:rsidR="00E23780" w:rsidRDefault="00E23780" w:rsidP="00E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6310B" w14:textId="77777777" w:rsidR="00E23780" w:rsidRDefault="00E23780" w:rsidP="00E23780">
      <w:r>
        <w:separator/>
      </w:r>
    </w:p>
  </w:footnote>
  <w:footnote w:type="continuationSeparator" w:id="0">
    <w:p w14:paraId="22899192" w14:textId="77777777" w:rsidR="00E23780" w:rsidRDefault="00E23780" w:rsidP="00E2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927FA"/>
    <w:rsid w:val="000A0910"/>
    <w:rsid w:val="000A57C1"/>
    <w:rsid w:val="000D4CBD"/>
    <w:rsid w:val="000E029B"/>
    <w:rsid w:val="000E4C61"/>
    <w:rsid w:val="00132B66"/>
    <w:rsid w:val="00142970"/>
    <w:rsid w:val="00157C94"/>
    <w:rsid w:val="00176334"/>
    <w:rsid w:val="001A1FC7"/>
    <w:rsid w:val="001A5B6A"/>
    <w:rsid w:val="001B255E"/>
    <w:rsid w:val="001C55BA"/>
    <w:rsid w:val="00200738"/>
    <w:rsid w:val="002261A5"/>
    <w:rsid w:val="00227BE7"/>
    <w:rsid w:val="00290640"/>
    <w:rsid w:val="002945C9"/>
    <w:rsid w:val="002E2372"/>
    <w:rsid w:val="00312FC5"/>
    <w:rsid w:val="003456B9"/>
    <w:rsid w:val="0039597C"/>
    <w:rsid w:val="003D1F67"/>
    <w:rsid w:val="00403FA8"/>
    <w:rsid w:val="00405AE2"/>
    <w:rsid w:val="00407BFF"/>
    <w:rsid w:val="00415238"/>
    <w:rsid w:val="00446E9F"/>
    <w:rsid w:val="004672B5"/>
    <w:rsid w:val="00482B7E"/>
    <w:rsid w:val="004B3F5E"/>
    <w:rsid w:val="004D411C"/>
    <w:rsid w:val="004D4624"/>
    <w:rsid w:val="004F13A6"/>
    <w:rsid w:val="00500B81"/>
    <w:rsid w:val="00502B5C"/>
    <w:rsid w:val="0052179B"/>
    <w:rsid w:val="005300E0"/>
    <w:rsid w:val="00540C8A"/>
    <w:rsid w:val="005501A2"/>
    <w:rsid w:val="00554E35"/>
    <w:rsid w:val="00573EDC"/>
    <w:rsid w:val="005A0620"/>
    <w:rsid w:val="005A294D"/>
    <w:rsid w:val="005D2418"/>
    <w:rsid w:val="005D447A"/>
    <w:rsid w:val="005F200A"/>
    <w:rsid w:val="00600120"/>
    <w:rsid w:val="0062379F"/>
    <w:rsid w:val="00631A9E"/>
    <w:rsid w:val="00651F72"/>
    <w:rsid w:val="00667738"/>
    <w:rsid w:val="006926DB"/>
    <w:rsid w:val="006A7EE0"/>
    <w:rsid w:val="006C14E0"/>
    <w:rsid w:val="006C4532"/>
    <w:rsid w:val="006E2457"/>
    <w:rsid w:val="006E2DB0"/>
    <w:rsid w:val="007132BE"/>
    <w:rsid w:val="00740C6D"/>
    <w:rsid w:val="007867BD"/>
    <w:rsid w:val="007A166C"/>
    <w:rsid w:val="007B4300"/>
    <w:rsid w:val="008055E1"/>
    <w:rsid w:val="008331D9"/>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F09CF"/>
    <w:rsid w:val="00AF76F0"/>
    <w:rsid w:val="00B67377"/>
    <w:rsid w:val="00BA10F6"/>
    <w:rsid w:val="00BA4363"/>
    <w:rsid w:val="00BD3C5F"/>
    <w:rsid w:val="00BF688E"/>
    <w:rsid w:val="00C101F2"/>
    <w:rsid w:val="00C53444"/>
    <w:rsid w:val="00C837D4"/>
    <w:rsid w:val="00CB0F12"/>
    <w:rsid w:val="00CD1ED9"/>
    <w:rsid w:val="00CE5E5D"/>
    <w:rsid w:val="00CF3654"/>
    <w:rsid w:val="00D02EEB"/>
    <w:rsid w:val="00D16722"/>
    <w:rsid w:val="00D524C2"/>
    <w:rsid w:val="00D72BAB"/>
    <w:rsid w:val="00D72F68"/>
    <w:rsid w:val="00D74B9F"/>
    <w:rsid w:val="00DB1239"/>
    <w:rsid w:val="00DC4CF3"/>
    <w:rsid w:val="00E23780"/>
    <w:rsid w:val="00E30708"/>
    <w:rsid w:val="00E342D8"/>
    <w:rsid w:val="00E356F8"/>
    <w:rsid w:val="00E46C80"/>
    <w:rsid w:val="00E512FA"/>
    <w:rsid w:val="00E559D0"/>
    <w:rsid w:val="00E67CD3"/>
    <w:rsid w:val="00E91E96"/>
    <w:rsid w:val="00EC09CC"/>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 w:type="paragraph" w:styleId="aa">
    <w:name w:val="header"/>
    <w:basedOn w:val="a"/>
    <w:link w:val="ab"/>
    <w:uiPriority w:val="99"/>
    <w:unhideWhenUsed/>
    <w:rsid w:val="00E23780"/>
    <w:pPr>
      <w:tabs>
        <w:tab w:val="center" w:pos="4677"/>
        <w:tab w:val="right" w:pos="9355"/>
      </w:tabs>
    </w:pPr>
  </w:style>
  <w:style w:type="character" w:customStyle="1" w:styleId="ab">
    <w:name w:val="Верхний колонтитул Знак"/>
    <w:basedOn w:val="a0"/>
    <w:link w:val="aa"/>
    <w:uiPriority w:val="99"/>
    <w:rsid w:val="00E23780"/>
  </w:style>
  <w:style w:type="paragraph" w:styleId="ac">
    <w:name w:val="footer"/>
    <w:basedOn w:val="a"/>
    <w:link w:val="ad"/>
    <w:uiPriority w:val="99"/>
    <w:unhideWhenUsed/>
    <w:rsid w:val="00E23780"/>
    <w:pPr>
      <w:tabs>
        <w:tab w:val="center" w:pos="4677"/>
        <w:tab w:val="right" w:pos="9355"/>
      </w:tabs>
    </w:pPr>
  </w:style>
  <w:style w:type="character" w:customStyle="1" w:styleId="ad">
    <w:name w:val="Нижний колонтитул Знак"/>
    <w:basedOn w:val="a0"/>
    <w:link w:val="ac"/>
    <w:uiPriority w:val="99"/>
    <w:rsid w:val="00E2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1004</Words>
  <Characters>5729</Characters>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2024-05-03T16:31:00Z</dcterms:modified>
</cp:coreProperties>
</file>