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86" w:rsidRPr="00E47E86" w:rsidRDefault="00E47E86" w:rsidP="00E47E86">
      <w:pPr>
        <w:tabs>
          <w:tab w:val="left" w:pos="7140"/>
        </w:tabs>
        <w:overflowPunct/>
        <w:ind w:left="7143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47E86">
        <w:rPr>
          <w:rFonts w:ascii="Times New Roman" w:eastAsia="SimSun" w:hAnsi="Times New Roman" w:cs="Times New Roman"/>
          <w:b/>
          <w:kern w:val="2"/>
          <w:sz w:val="23"/>
          <w:szCs w:val="23"/>
          <w:lang w:eastAsia="uk-UA"/>
        </w:rPr>
        <w:t>Додаток №2</w:t>
      </w:r>
    </w:p>
    <w:p w:rsidR="00E47E86" w:rsidRPr="00E47E86" w:rsidRDefault="00E47E86" w:rsidP="00E47E86">
      <w:pPr>
        <w:tabs>
          <w:tab w:val="left" w:pos="7140"/>
        </w:tabs>
        <w:overflowPunct/>
        <w:ind w:left="7143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47E86">
        <w:rPr>
          <w:rFonts w:ascii="Times New Roman" w:hAnsi="Times New Roman" w:cs="Times New Roman"/>
          <w:b/>
          <w:kern w:val="2"/>
          <w:sz w:val="23"/>
          <w:szCs w:val="23"/>
          <w:lang w:eastAsia="uk-UA"/>
        </w:rPr>
        <w:t>до тендерної документації</w:t>
      </w:r>
    </w:p>
    <w:p w:rsidR="00E47E86" w:rsidRPr="00E47E86" w:rsidRDefault="00E47E86" w:rsidP="00E47E86">
      <w:pPr>
        <w:overflowPunct/>
        <w:ind w:firstLine="6804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E47E86" w:rsidRPr="00E47E86" w:rsidRDefault="00E47E86" w:rsidP="00E47E86">
      <w:pPr>
        <w:tabs>
          <w:tab w:val="left" w:pos="426"/>
        </w:tabs>
        <w:overflowPunc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E47E8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ІНФОРМАЦІЯ ПРО НЕОБХІДНІ ТЕХНІЧНІ, ЯКІСНІ</w:t>
      </w:r>
    </w:p>
    <w:p w:rsidR="00E47E86" w:rsidRPr="00E47E86" w:rsidRDefault="00E47E86" w:rsidP="00E47E86">
      <w:pPr>
        <w:tabs>
          <w:tab w:val="left" w:pos="426"/>
        </w:tabs>
        <w:overflowPunc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E47E8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ТА КІЛЬКІСНІ ХАРАКТЕРИСТИКИ ПРЕДМЕТУ ЗАКУПІВЛІ</w:t>
      </w:r>
    </w:p>
    <w:p w:rsidR="00E47E86" w:rsidRPr="00E47E86" w:rsidRDefault="00E47E86" w:rsidP="00E47E86">
      <w:pPr>
        <w:tabs>
          <w:tab w:val="left" w:pos="426"/>
        </w:tabs>
        <w:overflowPunc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</w:rPr>
      </w:pPr>
    </w:p>
    <w:p w:rsidR="00CB3F5D" w:rsidRPr="00A22C82" w:rsidRDefault="00CB3F5D" w:rsidP="00CB3F5D">
      <w:pPr>
        <w:tabs>
          <w:tab w:val="left" w:pos="426"/>
        </w:tabs>
        <w:overflowPunct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2C82">
        <w:rPr>
          <w:rFonts w:ascii="Times New Roman" w:eastAsia="Times New Roman" w:hAnsi="Times New Roman" w:cs="Times New Roman"/>
          <w:bCs/>
          <w:sz w:val="28"/>
          <w:szCs w:val="28"/>
        </w:rPr>
        <w:t>ДК 021:2015 - 09130000-9 - Нафта і дистиляти</w:t>
      </w:r>
    </w:p>
    <w:p w:rsidR="00CB3F5D" w:rsidRDefault="00CB3F5D" w:rsidP="00CB3F5D">
      <w:pPr>
        <w:tabs>
          <w:tab w:val="left" w:pos="426"/>
        </w:tabs>
        <w:overflowPunct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F5D" w:rsidRPr="00CB3F5D" w:rsidRDefault="00CB3F5D" w:rsidP="00CB3F5D">
      <w:pPr>
        <w:tabs>
          <w:tab w:val="left" w:pos="426"/>
        </w:tabs>
        <w:overflowPunct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</w:rPr>
      </w:pPr>
      <w:r w:rsidRPr="00CB3F5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</w:rPr>
        <w:t>Найменування предмета закупівлі: </w:t>
      </w:r>
    </w:p>
    <w:p w:rsidR="00CB3F5D" w:rsidRPr="00CB3F5D" w:rsidRDefault="00CB3F5D" w:rsidP="00CB3F5D">
      <w:pPr>
        <w:tabs>
          <w:tab w:val="left" w:pos="426"/>
        </w:tabs>
        <w:overflowPunc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Бензин А – 95- Євро – 5 (в </w:t>
      </w:r>
      <w:proofErr w:type="spellStart"/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скретч</w:t>
      </w:r>
      <w:proofErr w:type="spellEnd"/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-картках або талонах) </w:t>
      </w:r>
      <w:r w:rsidRPr="00CB3F5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та</w:t>
      </w:r>
      <w:r w:rsidR="008B65D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CB3F5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Дизельне паливо- Євро – 5 (в     </w:t>
      </w:r>
      <w:proofErr w:type="spellStart"/>
      <w:r w:rsidRPr="00CB3F5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>скретч</w:t>
      </w:r>
      <w:proofErr w:type="spellEnd"/>
      <w:r w:rsidRPr="00CB3F5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>-картках або талонах)</w:t>
      </w:r>
      <w:r w:rsidRPr="00CB3F5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  за кодом </w:t>
      </w: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ДК 021:2015: 09130000-9 - Нафта і дистиляти.</w:t>
      </w:r>
    </w:p>
    <w:p w:rsidR="00CB3F5D" w:rsidRPr="00CB3F5D" w:rsidRDefault="00CB3F5D" w:rsidP="00CB3F5D">
      <w:pPr>
        <w:tabs>
          <w:tab w:val="left" w:pos="426"/>
        </w:tabs>
        <w:overflowPunct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  <w:bookmarkStart w:id="0" w:name="n14"/>
      <w:bookmarkEnd w:id="0"/>
    </w:p>
    <w:p w:rsidR="00CB3F5D" w:rsidRPr="00CB3F5D" w:rsidRDefault="00CB3F5D" w:rsidP="00CB3F5D">
      <w:pPr>
        <w:tabs>
          <w:tab w:val="left" w:pos="426"/>
        </w:tabs>
        <w:overflowPunct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</w:rPr>
      </w:pPr>
      <w:r w:rsidRPr="00CB3F5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</w:rPr>
        <w:t xml:space="preserve">Кількість товарів або обсяг виконання робіт чи надання послуг: </w:t>
      </w:r>
    </w:p>
    <w:p w:rsidR="00CB3F5D" w:rsidRPr="00CB3F5D" w:rsidRDefault="00CB3F5D" w:rsidP="00CB3F5D">
      <w:pPr>
        <w:tabs>
          <w:tab w:val="left" w:pos="426"/>
        </w:tabs>
        <w:overflowPunc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CB3F5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Бензин А – 95- Євро – 5 </w:t>
      </w: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="00701F5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-</w:t>
      </w:r>
      <w:r w:rsidR="009552B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5</w:t>
      </w: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00 л., </w:t>
      </w:r>
    </w:p>
    <w:p w:rsidR="00CB3F5D" w:rsidRPr="00CB3F5D" w:rsidRDefault="00CB3F5D" w:rsidP="00CB3F5D">
      <w:pPr>
        <w:tabs>
          <w:tab w:val="left" w:pos="426"/>
        </w:tabs>
        <w:overflowPunc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Дизельне паливо- Євро – 5   -</w:t>
      </w:r>
      <w:r w:rsidR="00701F5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2</w:t>
      </w:r>
      <w:r w:rsidR="009552B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50</w:t>
      </w: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00 л.</w:t>
      </w:r>
    </w:p>
    <w:p w:rsidR="00CB3F5D" w:rsidRPr="00CB3F5D" w:rsidRDefault="00CB3F5D" w:rsidP="00CB3F5D">
      <w:pPr>
        <w:tabs>
          <w:tab w:val="left" w:pos="426"/>
        </w:tabs>
        <w:overflowPunct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</w:p>
    <w:p w:rsidR="00CB3F5D" w:rsidRPr="00701F52" w:rsidRDefault="00CB3F5D" w:rsidP="00701F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F5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</w:rPr>
        <w:t>Місце поставки товарів, виконання робіт чи надання послуг:</w:t>
      </w: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="00701F52">
        <w:rPr>
          <w:rFonts w:ascii="Times New Roman" w:hAnsi="Times New Roman" w:cs="Times New Roman"/>
          <w:sz w:val="24"/>
          <w:szCs w:val="24"/>
        </w:rPr>
        <w:t>44350,</w:t>
      </w:r>
      <w:r w:rsidR="00701F52">
        <w:rPr>
          <w:rFonts w:ascii="Times New Roman" w:hAnsi="Times New Roman" w:cs="Times New Roman"/>
          <w:b/>
          <w:sz w:val="24"/>
          <w:szCs w:val="24"/>
        </w:rPr>
        <w:t xml:space="preserve">Україна, </w:t>
      </w:r>
      <w:r w:rsidR="00701F52">
        <w:rPr>
          <w:rFonts w:ascii="Times New Roman" w:eastAsia="Times New Roman" w:hAnsi="Times New Roman" w:cs="Times New Roman"/>
          <w:b/>
          <w:sz w:val="24"/>
          <w:szCs w:val="24"/>
        </w:rPr>
        <w:t>вул. Миру, 44 с. Римачі, Ковельський р-н, Волинська обл.</w:t>
      </w:r>
      <w:r w:rsidR="00701F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Комунальне підприємство «</w:t>
      </w:r>
      <w:proofErr w:type="spellStart"/>
      <w:r w:rsidR="00701F5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Буг»Вишнівської</w:t>
      </w:r>
      <w:proofErr w:type="spellEnd"/>
      <w:r w:rsidR="00701F5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сільської ради</w:t>
      </w: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.</w:t>
      </w:r>
    </w:p>
    <w:p w:rsidR="00CB3F5D" w:rsidRPr="00CB3F5D" w:rsidRDefault="00CB3F5D" w:rsidP="00CB3F5D">
      <w:pPr>
        <w:tabs>
          <w:tab w:val="left" w:pos="426"/>
        </w:tabs>
        <w:overflowPunct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B3F5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</w:rPr>
        <w:t>Строк поставки товарів, виконання робіт чи надання послуг:</w:t>
      </w: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З моменту підписання договору до </w:t>
      </w:r>
      <w:r w:rsidR="009552B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31</w:t>
      </w: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грудня 202</w:t>
      </w:r>
      <w:r w:rsidR="009552B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4</w:t>
      </w:r>
      <w:r w:rsidRPr="00CB3F5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року.</w:t>
      </w:r>
    </w:p>
    <w:p w:rsidR="00CB3F5D" w:rsidRPr="00CB3F5D" w:rsidRDefault="00CB3F5D" w:rsidP="00CB3F5D">
      <w:pPr>
        <w:tabs>
          <w:tab w:val="left" w:pos="426"/>
        </w:tabs>
        <w:overflowPunc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tbl>
      <w:tblPr>
        <w:tblpPr w:leftFromText="180" w:rightFromText="180" w:vertAnchor="text" w:horzAnchor="margin" w:tblpXSpec="center" w:tblpY="187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8"/>
      </w:tblGrid>
      <w:tr w:rsidR="00CB3F5D" w:rsidRPr="00CB3F5D" w:rsidTr="000F478A">
        <w:trPr>
          <w:trHeight w:val="557"/>
        </w:trPr>
        <w:tc>
          <w:tcPr>
            <w:tcW w:w="9868" w:type="dxa"/>
          </w:tcPr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1.1. Тендерні пропозиції можуть бути подані тільки стосовно повного обсягу предмета закупівлі. Учасник повинен зазначити лише одну ціну по позиції специфікації.</w:t>
            </w:r>
          </w:p>
        </w:tc>
      </w:tr>
      <w:tr w:rsidR="00CB3F5D" w:rsidRPr="00CB3F5D" w:rsidTr="000F478A">
        <w:trPr>
          <w:trHeight w:val="557"/>
        </w:trPr>
        <w:tc>
          <w:tcPr>
            <w:tcW w:w="9868" w:type="dxa"/>
          </w:tcPr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1.2. Строк поставки талонів: товар повинен бути переданий Постачальником Покупцю партіями згідно письмової заявки Покупця протягом 3-х робочих днів з дати отримання заявки. </w:t>
            </w:r>
          </w:p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Постачальник повинен забезпечити цілодобовий (включаючи суботу, неділю, святкові та неробочі дні (за винятком технічних перерв) відпуск бензину та дизельного пального  за допомогою  </w:t>
            </w:r>
            <w:proofErr w:type="spellStart"/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скретч</w:t>
            </w:r>
            <w:proofErr w:type="spellEnd"/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-карт або талонів, з можливими  номіналами 10л., 20л. в розгалуженій мережі АЗС по </w:t>
            </w:r>
            <w:r w:rsidR="00701F5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Волинській області</w:t>
            </w: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</w:p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Обслуговування на всіх АЗС має проводитися </w:t>
            </w:r>
            <w:proofErr w:type="spellStart"/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скретч</w:t>
            </w:r>
            <w:proofErr w:type="spellEnd"/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-картами або талонами одного взірця. </w:t>
            </w:r>
            <w:r w:rsidRPr="00CB3F5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Талони мають відповідати бренду Продавця.</w:t>
            </w: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талоні обов’язково повинні бути вказані: вид палива, номінал в кількості літрів, дата до якої дійсний та логотип бренду продавця. </w:t>
            </w:r>
            <w:r w:rsidR="007F5811" w:rsidRPr="007F581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Учасник</w:t>
            </w:r>
            <w:r w:rsidR="007F581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повинен</w:t>
            </w:r>
            <w:r w:rsidR="007F5811" w:rsidRPr="007F581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надати </w:t>
            </w:r>
            <w:r w:rsidR="007F581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зразок </w:t>
            </w:r>
            <w:r w:rsidR="007F5811" w:rsidRPr="007F581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сканован</w:t>
            </w:r>
            <w:r w:rsidR="007F581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их</w:t>
            </w:r>
            <w:r w:rsidR="007F5811" w:rsidRPr="007F581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копі</w:t>
            </w:r>
            <w:r w:rsidR="007F581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й</w:t>
            </w:r>
            <w:r w:rsidR="000975A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7F5811" w:rsidRPr="007F581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скретч</w:t>
            </w:r>
            <w:proofErr w:type="spellEnd"/>
            <w:r w:rsidR="007F5811" w:rsidRPr="007F581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-карток або талонів.</w:t>
            </w:r>
          </w:p>
          <w:p w:rsidR="00CB3F5D" w:rsidRPr="00CB3F5D" w:rsidRDefault="00CB3F5D" w:rsidP="00CB3F5D">
            <w:pPr>
              <w:widowControl w:val="0"/>
              <w:overflowPunct/>
              <w:autoSpaceDN w:val="0"/>
              <w:ind w:firstLine="70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B3F5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Фактична передача товару (заправка бензином та дизельним паливом) здійснюється за</w:t>
            </w:r>
            <w:r w:rsidR="000975A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hyperlink r:id="rId6" w:history="1"/>
            <w:hyperlink r:id="rId7" w:history="1">
              <w:r w:rsidRPr="00CB3F5D">
                <w:rPr>
                  <w:rFonts w:ascii="Times New Roman" w:eastAsia="Andale Sans UI" w:hAnsi="Times New Roman" w:cs="Times New Roman"/>
                  <w:color w:val="000000"/>
                  <w:kern w:val="3"/>
                  <w:sz w:val="24"/>
                  <w:szCs w:val="24"/>
                  <w:lang w:eastAsia="ja-JP" w:bidi="fa-IR"/>
                </w:rPr>
                <w:t>талонами номіналом 10 та(або) та(або) 20 л</w:t>
              </w:r>
            </w:hyperlink>
            <w:r w:rsidRPr="00CB3F5D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ітрів</w:t>
            </w:r>
            <w:r w:rsidRPr="00CB3F5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на АЗС Учасника (власних, орендованих або партнерських – </w:t>
            </w:r>
            <w:r w:rsidRPr="00CB3F5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надати копію документу, що підтверджує право власності або право використання),  на яких Учасник гарантує заправку транспортних засобів Замовника без обмежень.</w:t>
            </w:r>
          </w:p>
        </w:tc>
      </w:tr>
      <w:tr w:rsidR="00CB3F5D" w:rsidRPr="00CB3F5D" w:rsidTr="000F478A">
        <w:trPr>
          <w:trHeight w:val="310"/>
        </w:trPr>
        <w:tc>
          <w:tcPr>
            <w:tcW w:w="9868" w:type="dxa"/>
          </w:tcPr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1.3. Мета використання Бензину А – 95- Євро – 5, Дизельного палива- Євро – 5 – забезпечення безперебійної та ефективної експлуатації автотранспорту Замовника.</w:t>
            </w:r>
          </w:p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B3F5D" w:rsidRPr="00CB3F5D" w:rsidTr="000F478A">
        <w:trPr>
          <w:trHeight w:val="310"/>
        </w:trPr>
        <w:tc>
          <w:tcPr>
            <w:tcW w:w="9868" w:type="dxa"/>
          </w:tcPr>
          <w:p w:rsidR="00CB3F5D" w:rsidRPr="00CB3F5D" w:rsidRDefault="00CB3F5D" w:rsidP="00CB3F5D">
            <w:pPr>
              <w:numPr>
                <w:ilvl w:val="1"/>
                <w:numId w:val="5"/>
              </w:numPr>
              <w:tabs>
                <w:tab w:val="left" w:pos="426"/>
              </w:tabs>
              <w:overflowPunct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Учасник забезпечує: </w:t>
            </w:r>
          </w:p>
          <w:p w:rsidR="00CB3F5D" w:rsidRPr="00CB3F5D" w:rsidRDefault="00CB3F5D" w:rsidP="00CB3F5D">
            <w:pPr>
              <w:numPr>
                <w:ilvl w:val="0"/>
                <w:numId w:val="1"/>
              </w:numPr>
              <w:tabs>
                <w:tab w:val="left" w:pos="426"/>
              </w:tabs>
              <w:overflowPunct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Відстань від місця розташування Замовника (</w:t>
            </w:r>
            <w:r w:rsidR="00701F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с. Римачі, вул. Миру, </w:t>
            </w:r>
            <w:r w:rsidRPr="00CB3F5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) до найближчої АЗС Учасника не повинна перевищувати </w:t>
            </w:r>
            <w:r w:rsidR="00701F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12</w:t>
            </w:r>
            <w:bookmarkStart w:id="1" w:name="_GoBack"/>
            <w:bookmarkEnd w:id="1"/>
            <w:r w:rsidRPr="00CB3F5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км.</w:t>
            </w:r>
          </w:p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spacing w:line="259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Закупівля товару при розташування АЗС поза зоною визначеного району буде економічно невигідною, призведе до втрат часу та коштів.</w:t>
            </w:r>
          </w:p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B3F5D" w:rsidRPr="00CB3F5D" w:rsidTr="000F478A">
        <w:trPr>
          <w:trHeight w:val="310"/>
        </w:trPr>
        <w:tc>
          <w:tcPr>
            <w:tcW w:w="9868" w:type="dxa"/>
          </w:tcPr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1.5. Гарантійні вимоги:</w:t>
            </w:r>
          </w:p>
          <w:p w:rsidR="00CB3F5D" w:rsidRPr="00CB3F5D" w:rsidRDefault="00CB3F5D" w:rsidP="00CB3F5D">
            <w:pPr>
              <w:numPr>
                <w:ilvl w:val="0"/>
                <w:numId w:val="3"/>
              </w:numPr>
              <w:tabs>
                <w:tab w:val="left" w:pos="426"/>
              </w:tabs>
              <w:overflowPunct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Термін дії </w:t>
            </w:r>
            <w:proofErr w:type="spellStart"/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скретч</w:t>
            </w:r>
            <w:proofErr w:type="spellEnd"/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-карт або талонів (Бензину А – 95- Євро – 5, Дизельного палива- Євро – 5 )– має становити не менше 12 місяців з дати їх отримання.</w:t>
            </w:r>
          </w:p>
        </w:tc>
      </w:tr>
      <w:tr w:rsidR="00CB3F5D" w:rsidRPr="00CB3F5D" w:rsidTr="000F478A">
        <w:trPr>
          <w:trHeight w:val="222"/>
        </w:trPr>
        <w:tc>
          <w:tcPr>
            <w:tcW w:w="9868" w:type="dxa"/>
          </w:tcPr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1.6.  На  кожну партію  Товару  Учасник надає Замовникові наступні документи:</w:t>
            </w:r>
          </w:p>
          <w:p w:rsidR="00CB3F5D" w:rsidRPr="00CB3F5D" w:rsidRDefault="00CB3F5D" w:rsidP="00CB3F5D">
            <w:pPr>
              <w:numPr>
                <w:ilvl w:val="0"/>
                <w:numId w:val="4"/>
              </w:numPr>
              <w:tabs>
                <w:tab w:val="left" w:pos="426"/>
              </w:tabs>
              <w:overflowPunct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видаткову накладну;</w:t>
            </w:r>
          </w:p>
          <w:p w:rsidR="00CB3F5D" w:rsidRPr="00CB3F5D" w:rsidRDefault="00CB3F5D" w:rsidP="00CB3F5D">
            <w:pPr>
              <w:numPr>
                <w:ilvl w:val="0"/>
                <w:numId w:val="4"/>
              </w:numPr>
              <w:tabs>
                <w:tab w:val="left" w:pos="426"/>
              </w:tabs>
              <w:overflowPunct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копію сертифікату відповідності </w:t>
            </w: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для бензину по </w:t>
            </w: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ДСТУ 7687:2015; дизельного пального по ДСТУ 7688:2015;</w:t>
            </w:r>
          </w:p>
          <w:p w:rsidR="00CB3F5D" w:rsidRPr="00CB3F5D" w:rsidRDefault="00CB3F5D" w:rsidP="00CB3F5D">
            <w:pPr>
              <w:numPr>
                <w:ilvl w:val="0"/>
                <w:numId w:val="4"/>
              </w:numPr>
              <w:tabs>
                <w:tab w:val="left" w:pos="426"/>
              </w:tabs>
              <w:overflowPunct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копію паспорта (сертифіката) якості.</w:t>
            </w:r>
          </w:p>
        </w:tc>
      </w:tr>
      <w:tr w:rsidR="00CB3F5D" w:rsidRPr="00CB3F5D" w:rsidTr="000F478A">
        <w:trPr>
          <w:trHeight w:val="319"/>
        </w:trPr>
        <w:tc>
          <w:tcPr>
            <w:tcW w:w="9868" w:type="dxa"/>
          </w:tcPr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lastRenderedPageBreak/>
              <w:t>2.Технічні вимоги</w:t>
            </w:r>
          </w:p>
        </w:tc>
      </w:tr>
      <w:tr w:rsidR="00CB3F5D" w:rsidRPr="00CB3F5D" w:rsidTr="000F478A">
        <w:trPr>
          <w:trHeight w:val="264"/>
        </w:trPr>
        <w:tc>
          <w:tcPr>
            <w:tcW w:w="9868" w:type="dxa"/>
          </w:tcPr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2.1. Якість палива повинна відповідати Державним стандартам України та технічним вимогам, сертифікату якості заводу виробника, а саме:</w:t>
            </w:r>
          </w:p>
          <w:p w:rsidR="00CB3F5D" w:rsidRPr="00CB3F5D" w:rsidRDefault="00CB3F5D" w:rsidP="00CB3F5D">
            <w:pPr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ДСТУ- 7687:2015  «Бензини  автомобільні Євро. Технічні умови»</w:t>
            </w:r>
          </w:p>
          <w:p w:rsidR="00CB3F5D" w:rsidRPr="00CB3F5D" w:rsidRDefault="00CB3F5D" w:rsidP="00CB3F5D">
            <w:pPr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ДСТУ- 7688:2015  «Паливо дизельне Євро. Технічні умови»</w:t>
            </w:r>
          </w:p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що має бути підтверджено в тендерній пропозиції</w:t>
            </w:r>
            <w:r w:rsidR="007F5811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 xml:space="preserve"> Учасника</w:t>
            </w:r>
            <w:r w:rsidRPr="00CB3F5D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 xml:space="preserve"> копіями сертифікатів якості і відповідності.</w:t>
            </w:r>
          </w:p>
        </w:tc>
      </w:tr>
      <w:tr w:rsidR="00CB3F5D" w:rsidRPr="00CB3F5D" w:rsidTr="000F478A">
        <w:trPr>
          <w:trHeight w:val="264"/>
        </w:trPr>
        <w:tc>
          <w:tcPr>
            <w:tcW w:w="9868" w:type="dxa"/>
          </w:tcPr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3. Організаційні положення</w:t>
            </w:r>
          </w:p>
        </w:tc>
      </w:tr>
      <w:tr w:rsidR="00CB3F5D" w:rsidRPr="00CB3F5D" w:rsidTr="000F478A">
        <w:trPr>
          <w:trHeight w:val="264"/>
        </w:trPr>
        <w:tc>
          <w:tcPr>
            <w:tcW w:w="9868" w:type="dxa"/>
          </w:tcPr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3.1.Учасник </w:t>
            </w:r>
            <w:r w:rsidRPr="00CB3F5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повинен надати інформацію про виробників палива (найменування НПЗ, країна походження).</w:t>
            </w:r>
          </w:p>
        </w:tc>
      </w:tr>
      <w:tr w:rsidR="00CB3F5D" w:rsidRPr="00CB3F5D" w:rsidTr="000F478A">
        <w:trPr>
          <w:trHeight w:val="264"/>
        </w:trPr>
        <w:tc>
          <w:tcPr>
            <w:tcW w:w="9868" w:type="dxa"/>
          </w:tcPr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3.2.Учасник повинен забезпечити контроль якості кожної партії палива, що постачається та своєчасну заміну неякісного палива.</w:t>
            </w:r>
          </w:p>
        </w:tc>
      </w:tr>
      <w:tr w:rsidR="00CB3F5D" w:rsidRPr="00CB3F5D" w:rsidTr="000F478A">
        <w:trPr>
          <w:trHeight w:val="264"/>
        </w:trPr>
        <w:tc>
          <w:tcPr>
            <w:tcW w:w="9868" w:type="dxa"/>
          </w:tcPr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3.3. Умови оплати – Розрахунки проводяться шляхом оплати Покупцем після пред'явлення Продавцем рахунка на оплату товару (далі - рахунок) та підписання Сторонами видаткової накладної.     </w:t>
            </w:r>
          </w:p>
          <w:p w:rsidR="00CB3F5D" w:rsidRPr="00CB3F5D" w:rsidRDefault="00CB3F5D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Покупець зобов’язується повністю оплатити вартість (ціну) переданої у його власність (поставленої) партії Товару протягом </w:t>
            </w:r>
            <w:r w:rsidRPr="00CB3F5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10 календарних днів</w:t>
            </w:r>
            <w:r w:rsidRPr="00CB3F5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 моменту підписання сторонами накладної (видаткової накладної) на переданий у власність (поставлений) Товар, шляхом перерахування грошових коштів на банківський поточний рахунок Продавця.</w:t>
            </w:r>
          </w:p>
        </w:tc>
      </w:tr>
      <w:tr w:rsidR="007F5811" w:rsidRPr="00CB3F5D" w:rsidTr="000F478A">
        <w:trPr>
          <w:trHeight w:val="264"/>
        </w:trPr>
        <w:tc>
          <w:tcPr>
            <w:tcW w:w="9868" w:type="dxa"/>
          </w:tcPr>
          <w:p w:rsidR="007F5811" w:rsidRPr="00CB3F5D" w:rsidRDefault="007F5811" w:rsidP="00CB3F5D">
            <w:pPr>
              <w:tabs>
                <w:tab w:val="left" w:pos="426"/>
              </w:tabs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4. </w:t>
            </w:r>
            <w:r w:rsidR="00A22C82" w:rsidRPr="00A22C8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Учасник повинен надати гарантійний лист, яким підтверджується відсутність факторів, що впливають на довкілля (підписаний, скріплений печаткою (за наявності), датований, поданий у сканованому форматі).</w:t>
            </w:r>
          </w:p>
        </w:tc>
      </w:tr>
      <w:tr w:rsidR="00A22C82" w:rsidRPr="00CB3F5D" w:rsidTr="000F478A">
        <w:trPr>
          <w:trHeight w:val="264"/>
        </w:trPr>
        <w:tc>
          <w:tcPr>
            <w:tcW w:w="9868" w:type="dxa"/>
          </w:tcPr>
          <w:p w:rsidR="00A22C82" w:rsidRPr="002E4E67" w:rsidRDefault="00A22C82" w:rsidP="00A22C8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5. </w:t>
            </w:r>
            <w:r w:rsidRPr="002E4E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Зміст пропозиції учасника не повинна суперечити пункту 10 частини першої статті 4 Закону України «Про санкції» щодо заборони здійснення державних закупівель товарів, робіт і послуг у юридичних осіб-резидентів іноземної держави державної форми власності та юридичних осіб, частка статутного капіталу яких знаходиться у власності іноземної держави, а також державних закупівель у інших суб’єктів господарювання, що здійснюють продаж товарів, робіт, послуг походженням з іноземної держави, до якої застосовано санкції згідно з цим Законом, та іншому чинному українському законодавству, що містить обмеження ввезення товарів на митну територію України.</w:t>
            </w:r>
          </w:p>
          <w:p w:rsidR="00A22C82" w:rsidRDefault="00A22C82" w:rsidP="00A22C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4E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 - Замовник відхиляє тендерну пропозицію учасника, як таку що не відповідає умовам тендерної документації ,зокрема технічним вимогам замовника, до якого застосовано санкції щодо здійснення державних закупівель товарів, робіт і послуг у юридичних осіб-резидентів іноземної держави державної форми власності та юридичних осіб, частка статутного капіталу яких перебуває у власності іноземної держави, а також державних закупівель у інших суб'єктів господарювання, що здійснюють продаж товарів, робіт, послуг походженням з іноземної держави, до якої застосовано санкції згідно із Законом України "Про санкції", Указом Президента України № 549/2015 від 16 вересня 2015 року та рішенням РНБО України від 2 вересня 2015 року (дане рішення набрало чинності 22.09.2015 року). Рішення Ради національної безпеки і оборони України від 2 травня 2018 року «Про застосування та скасування персональних спеціальних економічних та інших обмежувальних заходів (санкцій)», уведеного в дію Указом Президента України від 14 травня 2018 року №126 , та Указу Президента України від 21.06.2018 року №176/2018 «Про рішення Ради національної безпеки і оборони України від 21 червня 2018 року «Про застосування та внесення змін до персональних спеціальних економічних та інших обмежувальних заходів (санкцій)».</w:t>
            </w:r>
          </w:p>
        </w:tc>
      </w:tr>
    </w:tbl>
    <w:p w:rsidR="00CB3F5D" w:rsidRPr="00CB3F5D" w:rsidRDefault="00CB3F5D" w:rsidP="00CB3F5D">
      <w:pPr>
        <w:overflowPunct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2253B" w:rsidRPr="002E4E67" w:rsidRDefault="0032253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32253B" w:rsidRPr="002E4E67" w:rsidSect="008B65D5">
      <w:pgSz w:w="11906" w:h="16838"/>
      <w:pgMar w:top="426" w:right="850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69F"/>
    <w:multiLevelType w:val="hybridMultilevel"/>
    <w:tmpl w:val="7FD4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BF9"/>
    <w:multiLevelType w:val="hybridMultilevel"/>
    <w:tmpl w:val="4980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741"/>
    <w:multiLevelType w:val="multilevel"/>
    <w:tmpl w:val="1390E6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D052E13"/>
    <w:multiLevelType w:val="hybridMultilevel"/>
    <w:tmpl w:val="A35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791E"/>
    <w:multiLevelType w:val="hybridMultilevel"/>
    <w:tmpl w:val="AF3E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05700"/>
    <w:rsid w:val="000975AD"/>
    <w:rsid w:val="0010479B"/>
    <w:rsid w:val="00270962"/>
    <w:rsid w:val="002E4E67"/>
    <w:rsid w:val="0032253B"/>
    <w:rsid w:val="00606200"/>
    <w:rsid w:val="006160F6"/>
    <w:rsid w:val="0068439A"/>
    <w:rsid w:val="00701F52"/>
    <w:rsid w:val="00741849"/>
    <w:rsid w:val="007F5811"/>
    <w:rsid w:val="008B65D5"/>
    <w:rsid w:val="009552BA"/>
    <w:rsid w:val="009E5482"/>
    <w:rsid w:val="00A05700"/>
    <w:rsid w:val="00A22C82"/>
    <w:rsid w:val="00B457C0"/>
    <w:rsid w:val="00BB637C"/>
    <w:rsid w:val="00BE057C"/>
    <w:rsid w:val="00CB3F5D"/>
    <w:rsid w:val="00E152AE"/>
    <w:rsid w:val="00E34BB1"/>
    <w:rsid w:val="00E45219"/>
    <w:rsid w:val="00E47E86"/>
    <w:rsid w:val="00EA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5E94"/>
  <w15:docId w15:val="{CE5E4CB3-8A59-490E-9975-5DEB03F0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19"/>
    <w:pPr>
      <w:overflowPunct w:val="0"/>
    </w:pPr>
    <w:rPr>
      <w:rFonts w:cs="Calibri"/>
      <w:sz w:val="20"/>
      <w:szCs w:val="20"/>
      <w:lang w:val="uk-UA" w:eastAsia="ru-RU"/>
    </w:rPr>
  </w:style>
  <w:style w:type="paragraph" w:styleId="1">
    <w:name w:val="heading 1"/>
    <w:basedOn w:val="10"/>
    <w:next w:val="a0"/>
    <w:qFormat/>
    <w:rsid w:val="00E45219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qFormat/>
    <w:rsid w:val="00E45219"/>
    <w:rPr>
      <w:rFonts w:ascii="Tahoma" w:eastAsia="Calibri" w:hAnsi="Tahoma" w:cs="Tahoma"/>
      <w:sz w:val="16"/>
      <w:szCs w:val="16"/>
      <w:lang w:val="uk-UA" w:eastAsia="ru-RU"/>
    </w:rPr>
  </w:style>
  <w:style w:type="character" w:customStyle="1" w:styleId="featuresname">
    <w:name w:val="features_name"/>
    <w:basedOn w:val="a1"/>
    <w:qFormat/>
    <w:rsid w:val="00E45219"/>
  </w:style>
  <w:style w:type="character" w:customStyle="1" w:styleId="featuresvalue">
    <w:name w:val="features_value"/>
    <w:basedOn w:val="a1"/>
    <w:qFormat/>
    <w:rsid w:val="00E45219"/>
  </w:style>
  <w:style w:type="character" w:customStyle="1" w:styleId="HTML">
    <w:name w:val="Стандартный HTML Знак"/>
    <w:basedOn w:val="a1"/>
    <w:qFormat/>
    <w:rsid w:val="00E452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qFormat/>
    <w:rsid w:val="00E45219"/>
  </w:style>
  <w:style w:type="character" w:customStyle="1" w:styleId="docdata">
    <w:name w:val="docdata"/>
    <w:basedOn w:val="a1"/>
    <w:qFormat/>
    <w:rsid w:val="00E45219"/>
  </w:style>
  <w:style w:type="paragraph" w:customStyle="1" w:styleId="10">
    <w:name w:val="Заголовок1"/>
    <w:basedOn w:val="a"/>
    <w:next w:val="a0"/>
    <w:qFormat/>
    <w:rsid w:val="00E452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E45219"/>
    <w:pPr>
      <w:spacing w:after="140" w:line="276" w:lineRule="auto"/>
    </w:pPr>
  </w:style>
  <w:style w:type="paragraph" w:styleId="a5">
    <w:name w:val="List"/>
    <w:basedOn w:val="a0"/>
    <w:rsid w:val="00E45219"/>
    <w:rPr>
      <w:rFonts w:cs="Lucida Sans"/>
    </w:rPr>
  </w:style>
  <w:style w:type="paragraph" w:styleId="a6">
    <w:name w:val="caption"/>
    <w:basedOn w:val="a"/>
    <w:qFormat/>
    <w:rsid w:val="00E4521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45219"/>
    <w:pPr>
      <w:suppressLineNumbers/>
    </w:pPr>
    <w:rPr>
      <w:rFonts w:cs="Lucida Sans"/>
    </w:rPr>
  </w:style>
  <w:style w:type="paragraph" w:styleId="a8">
    <w:name w:val="Balloon Text"/>
    <w:basedOn w:val="a"/>
    <w:qFormat/>
    <w:rsid w:val="00E4521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E45219"/>
    <w:pPr>
      <w:widowControl w:val="0"/>
      <w:suppressLineNumbers/>
    </w:pPr>
  </w:style>
  <w:style w:type="paragraph" w:styleId="HTML0">
    <w:name w:val="HTML Preformatted"/>
    <w:basedOn w:val="a"/>
    <w:qFormat/>
    <w:rsid w:val="00E45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val="ru-RU"/>
    </w:rPr>
  </w:style>
  <w:style w:type="paragraph" w:customStyle="1" w:styleId="22795">
    <w:name w:val="22795"/>
    <w:basedOn w:val="a"/>
    <w:qFormat/>
    <w:rsid w:val="00E45219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Normal (Web)"/>
    <w:basedOn w:val="a"/>
    <w:qFormat/>
    <w:rsid w:val="00E45219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Pa1">
    <w:name w:val="Pa1"/>
    <w:qFormat/>
    <w:rsid w:val="00E45219"/>
    <w:pPr>
      <w:widowControl w:val="0"/>
      <w:overflowPunct w:val="0"/>
      <w:spacing w:line="121" w:lineRule="atLeast"/>
    </w:pPr>
  </w:style>
  <w:style w:type="paragraph" w:customStyle="1" w:styleId="Pa6">
    <w:name w:val="Pa6"/>
    <w:qFormat/>
    <w:rsid w:val="00E45219"/>
    <w:pPr>
      <w:widowControl w:val="0"/>
      <w:overflowPunct w:val="0"/>
      <w:spacing w:line="91" w:lineRule="atLeast"/>
    </w:pPr>
  </w:style>
  <w:style w:type="paragraph" w:styleId="ab">
    <w:name w:val="List Paragraph"/>
    <w:basedOn w:val="a"/>
    <w:uiPriority w:val="34"/>
    <w:qFormat/>
    <w:rsid w:val="0032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1-01-12-004455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1-12-0044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DCCF-0621-41A3-B654-8F159D4D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4102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Pavlograd_Sv</dc:creator>
  <dc:description/>
  <cp:lastModifiedBy>Пользователь</cp:lastModifiedBy>
  <cp:revision>29</cp:revision>
  <cp:lastPrinted>2023-02-09T13:16:00Z</cp:lastPrinted>
  <dcterms:created xsi:type="dcterms:W3CDTF">2022-09-23T19:22:00Z</dcterms:created>
  <dcterms:modified xsi:type="dcterms:W3CDTF">2024-01-10T13:36:00Z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