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27" w:rsidRPr="009119D7" w:rsidRDefault="002E5627" w:rsidP="002E5627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2E5627" w:rsidRPr="009119D7" w:rsidRDefault="002E5627" w:rsidP="002E562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</w:p>
    <w:p w:rsidR="002E5627" w:rsidRPr="009119D7" w:rsidRDefault="002E5627" w:rsidP="002E562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2E5627" w:rsidRPr="0039226E" w:rsidRDefault="00010077" w:rsidP="00010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  <w:r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1.</w:t>
      </w:r>
      <w:proofErr w:type="spellStart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Перелік</w:t>
      </w:r>
      <w:proofErr w:type="spellEnd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 </w:t>
      </w:r>
      <w:proofErr w:type="spellStart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документів</w:t>
      </w:r>
      <w:proofErr w:type="spellEnd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 та інформації  для </w:t>
      </w:r>
      <w:proofErr w:type="spellStart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підтвердження</w:t>
      </w:r>
      <w:proofErr w:type="spellEnd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 </w:t>
      </w:r>
      <w:proofErr w:type="spellStart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відповідності</w:t>
      </w:r>
      <w:proofErr w:type="spellEnd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 УЧАСНИКА  </w:t>
      </w:r>
      <w:proofErr w:type="spellStart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кваліфікаційним</w:t>
      </w:r>
      <w:proofErr w:type="spellEnd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 </w:t>
      </w:r>
      <w:proofErr w:type="spellStart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критеріям</w:t>
      </w:r>
      <w:proofErr w:type="spellEnd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, </w:t>
      </w:r>
      <w:proofErr w:type="spellStart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в</w:t>
      </w:r>
      <w:bookmarkStart w:id="0" w:name="_GoBack"/>
      <w:bookmarkEnd w:id="0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изначеним</w:t>
      </w:r>
      <w:proofErr w:type="spellEnd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 у </w:t>
      </w:r>
      <w:proofErr w:type="spellStart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статті</w:t>
      </w:r>
      <w:proofErr w:type="spellEnd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 16 Закону “Про </w:t>
      </w:r>
      <w:proofErr w:type="spellStart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публічні</w:t>
      </w:r>
      <w:proofErr w:type="spellEnd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 </w:t>
      </w:r>
      <w:proofErr w:type="spellStart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закупівлі</w:t>
      </w:r>
      <w:proofErr w:type="spellEnd"/>
      <w:r w:rsidR="002E5627" w:rsidRPr="0039226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”:</w:t>
      </w:r>
    </w:p>
    <w:p w:rsidR="002E5627" w:rsidRPr="006314BE" w:rsidRDefault="002E5627" w:rsidP="002E56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  <w:r w:rsidRPr="006314B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Замовник вибирає один або </w:t>
      </w:r>
      <w:proofErr w:type="spellStart"/>
      <w:r w:rsidRPr="006314B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декілька</w:t>
      </w:r>
      <w:proofErr w:type="spellEnd"/>
      <w:r w:rsidRPr="006314B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 </w:t>
      </w:r>
      <w:proofErr w:type="spellStart"/>
      <w:r w:rsidRPr="006314B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кваліфікаційних</w:t>
      </w:r>
      <w:proofErr w:type="spellEnd"/>
      <w:r w:rsidRPr="006314B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 </w:t>
      </w:r>
      <w:proofErr w:type="spellStart"/>
      <w:r w:rsidRPr="006314B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критеріїв</w:t>
      </w:r>
      <w:proofErr w:type="spellEnd"/>
      <w:r w:rsidRPr="006314B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 </w:t>
      </w:r>
      <w:proofErr w:type="spellStart"/>
      <w:r w:rsidRPr="006314B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залежно</w:t>
      </w:r>
      <w:proofErr w:type="spellEnd"/>
      <w:r w:rsidRPr="006314B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 </w:t>
      </w:r>
      <w:proofErr w:type="spellStart"/>
      <w:r w:rsidRPr="006314B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від</w:t>
      </w:r>
      <w:proofErr w:type="spellEnd"/>
      <w:r w:rsidRPr="006314B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 </w:t>
      </w:r>
      <w:proofErr w:type="spellStart"/>
      <w:r w:rsidRPr="006314B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специфіки</w:t>
      </w:r>
      <w:proofErr w:type="spellEnd"/>
      <w:r w:rsidRPr="006314B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 предмета </w:t>
      </w:r>
      <w:proofErr w:type="spellStart"/>
      <w:r w:rsidRPr="006314B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закупівлі</w:t>
      </w:r>
      <w:proofErr w:type="spellEnd"/>
      <w:r w:rsidRPr="006314BE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>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867966" w:rsidRPr="00D16F4A" w:rsidTr="008679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966" w:rsidRPr="006314BE" w:rsidRDefault="00867966" w:rsidP="0061087E">
            <w:pPr>
              <w:pStyle w:val="22"/>
              <w:spacing w:after="0" w:line="264" w:lineRule="auto"/>
              <w:ind w:left="75"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14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Кваліфікаційний критерій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66" w:rsidRPr="006314BE" w:rsidRDefault="00867966" w:rsidP="0061087E">
            <w:pPr>
              <w:pStyle w:val="22"/>
              <w:spacing w:after="0" w:line="264" w:lineRule="auto"/>
              <w:ind w:left="75"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14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Документальне підтвердження</w:t>
            </w:r>
          </w:p>
        </w:tc>
      </w:tr>
      <w:tr w:rsidR="00867966" w:rsidRPr="00A2404F" w:rsidTr="008679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966" w:rsidRPr="007C6397" w:rsidRDefault="00867966" w:rsidP="0061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Наявність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документально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підтвердженого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досвіду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виконання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аналогічного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аналогічних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) за предметом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закупівлі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договору (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договорів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66" w:rsidRPr="006314BE" w:rsidRDefault="00867966" w:rsidP="0061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предметом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має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67966" w:rsidRPr="006314BE" w:rsidRDefault="00867966" w:rsidP="0061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за предметом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</w:t>
            </w:r>
          </w:p>
          <w:p w:rsidR="00867966" w:rsidRPr="006314BE" w:rsidRDefault="00867966" w:rsidP="0061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2.  к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опі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одного договору та всі додатки до нього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:rsidR="00867966" w:rsidRPr="006314BE" w:rsidRDefault="00867966" w:rsidP="0061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/у на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:rsidR="00867966" w:rsidRPr="00A2404F" w:rsidRDefault="00867966" w:rsidP="0061087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догові</w:t>
            </w:r>
            <w:proofErr w:type="gramStart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за кодом ДК 021: 2015 - </w:t>
            </w:r>
            <w:r w:rsidR="00C66B98"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33750000-2 </w:t>
            </w:r>
            <w:proofErr w:type="spellStart"/>
            <w:r w:rsidR="00C66B98"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Засоби</w:t>
            </w:r>
            <w:proofErr w:type="spellEnd"/>
            <w:r w:rsidR="00C66B98"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для догляду за </w:t>
            </w:r>
            <w:proofErr w:type="spellStart"/>
            <w:r w:rsidR="00C66B98"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малюками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</w:tbl>
    <w:p w:rsidR="00867966" w:rsidRDefault="00867966" w:rsidP="002E562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314BE" w:rsidRDefault="006314BE" w:rsidP="006314B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6314BE" w:rsidRPr="00D74A25" w:rsidRDefault="006314BE" w:rsidP="006314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Замовник не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 w:rsidRPr="00D74A25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D74A25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будь-яких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до абзацу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шістнадцятого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314BE" w:rsidRPr="00D74A25" w:rsidRDefault="006314BE" w:rsidP="006314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 w:rsidRPr="00D74A25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D74A25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підпунктів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1 і 7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пункту), шляхом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314BE" w:rsidRPr="00D74A25" w:rsidRDefault="006314BE" w:rsidP="006314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Замовник самостійно за результатами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розгляду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 w:rsidRPr="00D74A25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D74A25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підпунктами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1 і 7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пункту.</w:t>
      </w:r>
    </w:p>
    <w:p w:rsidR="006314BE" w:rsidRPr="00D74A25" w:rsidRDefault="006314BE" w:rsidP="006314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ічна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6314BE" w:rsidRPr="00D74A25" w:rsidRDefault="006314BE" w:rsidP="006314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У разі коли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має намір залучити інших суб’єктів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як субпідрядників/співвиконавців </w:t>
      </w:r>
      <w:proofErr w:type="gramStart"/>
      <w:r w:rsidRPr="00D74A25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у разі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(у разі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закупі</w:t>
      </w:r>
      <w:proofErr w:type="gramStart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і</w:t>
      </w:r>
      <w:proofErr w:type="spellEnd"/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, замовник перевіряє таких суб’єктів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щодо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D74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314BE" w:rsidRPr="00D74A25" w:rsidRDefault="006314BE" w:rsidP="006314BE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4BE" w:rsidRPr="00D74A25" w:rsidRDefault="006314BE" w:rsidP="00631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 xml:space="preserve"> та інформації  для </w:t>
      </w:r>
      <w:proofErr w:type="spellStart"/>
      <w:proofErr w:type="gramStart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>ідтвердження</w:t>
      </w:r>
      <w:proofErr w:type="spellEnd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A25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314BE" w:rsidRPr="00D74A25" w:rsidRDefault="006314BE" w:rsidP="006314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 w:rsidRPr="00D74A25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D74A25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у строк,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4A2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</w:t>
      </w:r>
      <w:proofErr w:type="spellStart"/>
      <w:r w:rsidRPr="00D74A25">
        <w:rPr>
          <w:rFonts w:ascii="Times New Roman" w:eastAsia="Times New Roman" w:hAnsi="Times New Roman" w:cs="Times New Roman"/>
          <w:b/>
          <w:i/>
          <w:sz w:val="20"/>
          <w:szCs w:val="20"/>
        </w:rPr>
        <w:t>перевищує</w:t>
      </w:r>
      <w:proofErr w:type="spellEnd"/>
      <w:r w:rsidRPr="00D74A2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b/>
          <w:i/>
          <w:sz w:val="20"/>
          <w:szCs w:val="20"/>
        </w:rPr>
        <w:t>чотири</w:t>
      </w:r>
      <w:proofErr w:type="spellEnd"/>
      <w:r w:rsidRPr="00D74A2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b/>
          <w:i/>
          <w:sz w:val="20"/>
          <w:szCs w:val="20"/>
        </w:rPr>
        <w:t>дні</w:t>
      </w:r>
      <w:proofErr w:type="spellEnd"/>
      <w:r w:rsidRPr="00D74A2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про намір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3, 5, 6 і 12 пункту 47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314BE" w:rsidRPr="00D74A25" w:rsidRDefault="006314BE" w:rsidP="006314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того, у яких днях (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4A25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  <w:proofErr w:type="gramEnd"/>
    </w:p>
    <w:p w:rsidR="006314BE" w:rsidRPr="00D74A25" w:rsidRDefault="006314BE" w:rsidP="006314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14BE" w:rsidRDefault="006314BE" w:rsidP="006314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W w:w="10123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5008"/>
      </w:tblGrid>
      <w:tr w:rsidR="006314BE" w:rsidTr="006314B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6314BE" w:rsidRDefault="006314BE" w:rsidP="000310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згідно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6314BE" w:rsidRDefault="006314BE" w:rsidP="000310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згідно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інформацію:</w:t>
            </w:r>
          </w:p>
        </w:tc>
      </w:tr>
      <w:tr w:rsidR="006314BE" w:rsidTr="006314B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згідно із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6314BE" w:rsidRDefault="006314BE" w:rsidP="0003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самостійно,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інформації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6314BE" w:rsidRDefault="006314BE" w:rsidP="0003109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згідно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6314BE" w:rsidRDefault="006314BE" w:rsidP="0003109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згідно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інформації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6314BE" w:rsidTr="006314B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6314BE" w:rsidRDefault="006314BE" w:rsidP="000310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інформацію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України щодо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6314BE" w:rsidRDefault="006314BE" w:rsidP="0003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6314BE" w:rsidRDefault="006314BE" w:rsidP="0003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6314BE" w:rsidTr="006314B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згідно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6314BE" w:rsidRDefault="006314BE" w:rsidP="0003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6314BE" w:rsidRDefault="006314BE" w:rsidP="006314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314BE" w:rsidRDefault="006314BE" w:rsidP="00631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10123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5109"/>
      </w:tblGrid>
      <w:tr w:rsidR="006314BE" w:rsidTr="006314BE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314BE" w:rsidRDefault="006314BE" w:rsidP="000310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згідно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6314BE" w:rsidRDefault="006314BE" w:rsidP="000310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згідно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інформацію:</w:t>
            </w:r>
          </w:p>
        </w:tc>
      </w:tr>
      <w:tr w:rsidR="006314BE" w:rsidTr="006314B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згідно із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6314BE" w:rsidRDefault="006314BE" w:rsidP="0003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самостійно,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інформації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6314BE" w:rsidRDefault="006314BE" w:rsidP="0003109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згідно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6314BE" w:rsidRDefault="006314BE" w:rsidP="000310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разі якщо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згідно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інформації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314BE" w:rsidTr="006314B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6314BE" w:rsidRDefault="006314BE" w:rsidP="000310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інформацію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України щодо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314BE" w:rsidRDefault="006314BE" w:rsidP="0003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14BE" w:rsidRDefault="006314BE" w:rsidP="0003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14BE" w:rsidTr="006314B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згідно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6314BE" w:rsidRDefault="006314BE" w:rsidP="0003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4BE" w:rsidRDefault="006314BE" w:rsidP="000310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14BE" w:rsidRDefault="006314BE" w:rsidP="002E562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314BE" w:rsidRPr="009119D7" w:rsidRDefault="006314BE" w:rsidP="002E562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7543AF" w:rsidRPr="006314BE" w:rsidRDefault="00754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543AF" w:rsidRPr="009119D7" w:rsidRDefault="000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</w:t>
      </w:r>
      <w:proofErr w:type="spell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10123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723"/>
      </w:tblGrid>
      <w:tr w:rsidR="007543AF" w:rsidRPr="009119D7" w:rsidTr="006314BE">
        <w:trPr>
          <w:trHeight w:val="124"/>
        </w:trPr>
        <w:tc>
          <w:tcPr>
            <w:tcW w:w="10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43AF" w:rsidRPr="009119D7" w:rsidTr="006314BE">
        <w:trPr>
          <w:trHeight w:val="633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6314BE" w:rsidRDefault="000D3451" w:rsidP="006314B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6314BE" w:rsidRDefault="000D3451" w:rsidP="006314B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Якщо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тендерна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пропозиція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подається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керівником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зазначеним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Єдиному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державному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реєстрі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юридичних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осіб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фізичних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осіб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підприємців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громадських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формувань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іншою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особою,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надає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довіреність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доручення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таку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особу.</w:t>
            </w:r>
          </w:p>
        </w:tc>
      </w:tr>
      <w:tr w:rsidR="007543AF" w:rsidRPr="009119D7" w:rsidTr="006314BE">
        <w:trPr>
          <w:trHeight w:val="43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6314BE" w:rsidRDefault="000D3451" w:rsidP="006314B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6314BE" w:rsidRDefault="000D3451" w:rsidP="006314B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Достовірна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довільної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форми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якій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зазначити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дані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чинної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ліцензії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документа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дозвільного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характеру на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провадження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виду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господарської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діяльності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якщо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отримання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дозволу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ліцензії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провадження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виду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діяльності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передбачено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законом.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Замість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довільної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форми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чинну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ліцензію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документ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дозвільного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характеру. </w:t>
            </w:r>
          </w:p>
          <w:p w:rsidR="007543AF" w:rsidRPr="006314BE" w:rsidRDefault="000D3451" w:rsidP="006314B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Надається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лише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</w:t>
            </w:r>
            <w:proofErr w:type="gram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</w:t>
            </w:r>
            <w:proofErr w:type="gram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якщо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отримання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дозволу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ліцензії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провадження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виду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господарської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діяльності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передбачено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законом).</w:t>
            </w:r>
          </w:p>
        </w:tc>
      </w:tr>
      <w:tr w:rsidR="007543AF" w:rsidRPr="006314BE" w:rsidTr="006314B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6314BE" w:rsidRDefault="000D3451" w:rsidP="006314B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6314BE" w:rsidRDefault="000D3451" w:rsidP="006314B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 разі, якщо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кінцевий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бенефіціарний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власник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член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акціонер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має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частку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статутному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капіталі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10 і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більше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відсотків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далі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-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активи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є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громадянином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Російської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Федерації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/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Республіки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Білорусь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проживає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території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України на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законних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підставах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складі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тендерної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пропозиції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має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стосовно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таких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осіб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</w:t>
            </w:r>
          </w:p>
          <w:p w:rsidR="007543AF" w:rsidRPr="006314BE" w:rsidRDefault="000D3451" w:rsidP="006314B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•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військовий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квиток,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виданий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іноземцю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який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порядку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уклав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контракт про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проходження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військової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служби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Збройних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Силах України,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Державній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спеціальній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службі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транспорту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Національній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гвардії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України</w:t>
            </w: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 •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посвідчення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біженця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документ,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підтверджує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притулку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Україні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 •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посвідчення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особи, яка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потребує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додаткового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захисту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Україні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 •   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посвідчення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особи,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якій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тимчасовий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захист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Україні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 •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витяг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реєстру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територіальної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громади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підтверджує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зареєстроване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задеклароване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місце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проживання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особи разом з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посвідкою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тимчасове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проживання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посвідкою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постійне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проживання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візою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 У разі, якщо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активи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законодавством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порядку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передані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управління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Національному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агентству з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питань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виявлення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розшуку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управління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активами,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одержаними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корупційних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інших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злочинів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»,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складі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тендерної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пропозиції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має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</w:t>
            </w: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 • Ухвалу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слідчого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судді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суду, щодо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арешту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активів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 •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Нотаріально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засвідчену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копію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згоди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власника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щодо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управління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активами,</w:t>
            </w: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 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також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</w:t>
            </w: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 •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Договір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управління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майном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укладений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Національним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агентством з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питань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виявлення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розшуку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управління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активами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одержаними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корупційних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інших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злочинів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управителем,</w:t>
            </w: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 •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рішення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Кабінету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Міністрів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України, щодо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управління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активами, на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накладено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арешт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кримінальному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провадженні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475C7C" w:rsidRPr="006314BE" w:rsidTr="006314BE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Pr="006314BE" w:rsidRDefault="00475C7C" w:rsidP="006314B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4.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Pr="006314BE" w:rsidRDefault="00475C7C" w:rsidP="006314B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Копія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Витягу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Виписки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Єдиного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реєстру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юридичних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фізичних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осіб-підприємців</w:t>
            </w:r>
            <w:proofErr w:type="spellEnd"/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475C7C" w:rsidRPr="006314BE" w:rsidTr="006314BE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Pr="006314BE" w:rsidRDefault="00475C7C" w:rsidP="006314B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5.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Pr="006314BE" w:rsidRDefault="00475C7C" w:rsidP="006314B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Копії документів, які свідчать про якість товарів, що пропонуються Учасником (</w:t>
            </w:r>
            <w:r w:rsidR="00061E96"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висновок СЕС; декларація про відповідність медичних виробів вимогам технічного регламенту щодо медичних виробів, що підтверджує відповідність товару вимогам, встановленим до нього загальнообов’язковими на території України нормами; сертифікат відповідності/якості (якщо предмет закупівлі підлягає сертифікації); карта технічних даних).</w:t>
            </w: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475C7C" w:rsidRPr="006314BE" w:rsidTr="006314BE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Pr="006314BE" w:rsidRDefault="00475C7C" w:rsidP="006314B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6.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Pr="006314BE" w:rsidRDefault="00475C7C" w:rsidP="006314B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314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повинен забезпечувати належні умови зберігання та транспортування (доставка товару, завантажувальні-розвантажувальні роботи здійснюються транспортом Постачальника) предмету закупівлі -  надати гарантійний лист.</w:t>
            </w:r>
          </w:p>
        </w:tc>
      </w:tr>
    </w:tbl>
    <w:p w:rsidR="007543AF" w:rsidRPr="006314BE" w:rsidRDefault="007543AF" w:rsidP="006314BE">
      <w:pPr>
        <w:spacing w:after="0" w:line="240" w:lineRule="auto"/>
        <w:ind w:left="100" w:right="120" w:hanging="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sectPr w:rsidR="007543AF" w:rsidRPr="006314B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B5C"/>
    <w:multiLevelType w:val="multilevel"/>
    <w:tmpl w:val="9D56722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0F4684D"/>
    <w:multiLevelType w:val="multilevel"/>
    <w:tmpl w:val="620E3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62F61C1"/>
    <w:multiLevelType w:val="multilevel"/>
    <w:tmpl w:val="E4482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AC52756"/>
    <w:multiLevelType w:val="multilevel"/>
    <w:tmpl w:val="8D6A8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D7E2A1D"/>
    <w:multiLevelType w:val="multilevel"/>
    <w:tmpl w:val="AC525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55F198B"/>
    <w:multiLevelType w:val="multilevel"/>
    <w:tmpl w:val="333C135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8535EA6"/>
    <w:multiLevelType w:val="multilevel"/>
    <w:tmpl w:val="836A0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F"/>
    <w:rsid w:val="00010077"/>
    <w:rsid w:val="00061E96"/>
    <w:rsid w:val="0006416C"/>
    <w:rsid w:val="000D3451"/>
    <w:rsid w:val="0015452F"/>
    <w:rsid w:val="002E5627"/>
    <w:rsid w:val="0039226E"/>
    <w:rsid w:val="00475C7C"/>
    <w:rsid w:val="006314BE"/>
    <w:rsid w:val="007543AF"/>
    <w:rsid w:val="00867966"/>
    <w:rsid w:val="009119D7"/>
    <w:rsid w:val="009F514E"/>
    <w:rsid w:val="00C66B98"/>
    <w:rsid w:val="00C81673"/>
    <w:rsid w:val="00E62DFC"/>
    <w:rsid w:val="00F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2E5627"/>
    <w:pPr>
      <w:spacing w:after="120" w:line="480" w:lineRule="auto"/>
      <w:ind w:left="283"/>
    </w:pPr>
    <w:rPr>
      <w:rFonts w:eastAsia="Times New Roman"/>
      <w:lang w:eastAsia="ar-SA"/>
    </w:rPr>
  </w:style>
  <w:style w:type="paragraph" w:styleId="afb">
    <w:name w:val="Body Text Indent"/>
    <w:basedOn w:val="a"/>
    <w:link w:val="afc"/>
    <w:rsid w:val="009119D7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character" w:customStyle="1" w:styleId="afc">
    <w:name w:val="Основной текст с отступом Знак"/>
    <w:basedOn w:val="a0"/>
    <w:link w:val="afb"/>
    <w:rsid w:val="009119D7"/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2E5627"/>
    <w:pPr>
      <w:spacing w:after="120" w:line="480" w:lineRule="auto"/>
      <w:ind w:left="283"/>
    </w:pPr>
    <w:rPr>
      <w:rFonts w:eastAsia="Times New Roman"/>
      <w:lang w:eastAsia="ar-SA"/>
    </w:rPr>
  </w:style>
  <w:style w:type="paragraph" w:styleId="afb">
    <w:name w:val="Body Text Indent"/>
    <w:basedOn w:val="a"/>
    <w:link w:val="afc"/>
    <w:rsid w:val="009119D7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character" w:customStyle="1" w:styleId="afc">
    <w:name w:val="Основной текст с отступом Знак"/>
    <w:basedOn w:val="a0"/>
    <w:link w:val="afb"/>
    <w:rsid w:val="009119D7"/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8052</Words>
  <Characters>4590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3</cp:revision>
  <dcterms:created xsi:type="dcterms:W3CDTF">2024-04-29T12:38:00Z</dcterms:created>
  <dcterms:modified xsi:type="dcterms:W3CDTF">2024-04-29T12:39:00Z</dcterms:modified>
</cp:coreProperties>
</file>