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1EC9" w14:textId="77777777" w:rsidR="0037623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ДОГОВІР № </w:t>
      </w:r>
      <w:r>
        <w:rPr>
          <w:rFonts w:ascii="Times New Roman" w:eastAsia="Times New Roman" w:hAnsi="Times New Roman" w:cs="Times New Roman"/>
          <w:color w:val="0D0D0D"/>
          <w:sz w:val="24"/>
        </w:rPr>
        <w:t>_______</w:t>
      </w:r>
    </w:p>
    <w:p w14:paraId="06D5D5A5" w14:textId="77777777" w:rsidR="0037623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поставку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71DF80" w14:textId="77777777" w:rsidR="003762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____ ____________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</w:t>
      </w:r>
    </w:p>
    <w:p w14:paraId="2F98130F" w14:textId="77777777" w:rsidR="00376230" w:rsidRDefault="00376230">
      <w:pPr>
        <w:tabs>
          <w:tab w:val="left" w:pos="5731"/>
          <w:tab w:val="left" w:pos="7279"/>
          <w:tab w:val="left" w:pos="88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81FECF4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Державна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Установа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Інститут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патології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хребта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суглобів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професора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М.І.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НАМНУ»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скорочено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 xml:space="preserve"> ДУ «ІПХС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М.І.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НАМНУ»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в.о.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д.м.н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. Бондаренко Станіслава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Постанови Бюро Президії НАМНУ №20/1 від 10.10.2023р. Наказ НАМНУ №17-ос від 12.10.2023р.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 однієї сторони, і ___________________________________________, надалі – Постачальник, в особі ___________________________, що діє на підставі ___________ з іншої сторони,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подальшому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разом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Сторона,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поставку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регламентуються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Цивільним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Господарським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12.10.2022 </w:t>
      </w:r>
      <w:r>
        <w:rPr>
          <w:rFonts w:ascii="Times New Roman" w:eastAsia="Times New Roman" w:hAnsi="Times New Roman" w:cs="Times New Roman"/>
          <w:b/>
          <w:bCs/>
          <w:sz w:val="24"/>
        </w:rPr>
        <w:t>№ 1178</w:t>
      </w:r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п.1</w:t>
      </w: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7BD249EB" w14:textId="77777777" w:rsidR="00376230" w:rsidRDefault="00376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4D6AB12F" w14:textId="77777777" w:rsidR="00376230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Договору.</w:t>
      </w:r>
    </w:p>
    <w:p w14:paraId="111C38CF" w14:textId="77777777" w:rsidR="00376230" w:rsidRDefault="00376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2BC23C9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харчові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Товар)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 і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3F453B3" w14:textId="54CA9CF9" w:rsidR="007060F6" w:rsidRPr="007060F6" w:rsidRDefault="00000000" w:rsidP="00706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ДК 021:2015 </w:t>
      </w:r>
      <w:r w:rsidR="00C27FBB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>15510000-6</w:t>
      </w:r>
      <w:r w:rsidR="00C27FBB">
        <w:rPr>
          <w:rFonts w:ascii="Arial" w:hAnsi="Arial" w:cs="Arial"/>
          <w:color w:val="000000"/>
          <w:sz w:val="21"/>
          <w:szCs w:val="21"/>
          <w:shd w:val="clear" w:color="auto" w:fill="FDFEFD"/>
        </w:rPr>
        <w:t> - </w:t>
      </w:r>
      <w:r w:rsidR="00C27FBB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>Молоко та вершки</w:t>
      </w:r>
      <w:r w:rsidR="00706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 </w:t>
      </w:r>
      <w:r w:rsidR="00C27FBB" w:rsidRPr="00C27FB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Молоко згущене, звичайне, з цукром, 8,5%, 370г</w:t>
      </w:r>
      <w:r w:rsidR="007060F6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.</w:t>
      </w:r>
    </w:p>
    <w:p w14:paraId="747BB1AD" w14:textId="14058CB9" w:rsidR="003762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 </w:t>
      </w:r>
      <w:proofErr w:type="spellStart"/>
      <w:r>
        <w:rPr>
          <w:rFonts w:ascii="Times New Roman" w:eastAsia="Times New Roman" w:hAnsi="Times New Roman" w:cs="Times New Roman"/>
          <w:sz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вказується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Договору. </w:t>
      </w:r>
    </w:p>
    <w:p w14:paraId="485C2A77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1.4. Поставка і оплата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Договору: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накладних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12D5F15F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забороною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відчуження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арештом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є предметом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застави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органами і державою, а також не є предметом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обтяження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9734A88" w14:textId="700B0FBE" w:rsidR="00C27FBB" w:rsidRPr="00C27FBB" w:rsidRDefault="00C2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1.6. Кількість: </w:t>
      </w:r>
      <w:r w:rsidRPr="00C27FBB">
        <w:rPr>
          <w:rFonts w:ascii="Times New Roman" w:eastAsia="Times New Roman" w:hAnsi="Times New Roman" w:cs="Times New Roman"/>
          <w:b/>
          <w:bCs/>
          <w:sz w:val="24"/>
          <w:lang w:val="uk-UA"/>
        </w:rPr>
        <w:t>370 кілограм.</w:t>
      </w:r>
    </w:p>
    <w:p w14:paraId="349990B2" w14:textId="732732BC" w:rsidR="00376230" w:rsidRDefault="00000000">
      <w:pPr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C27FBB">
        <w:rPr>
          <w:rFonts w:ascii="Times New Roman" w:hAnsi="Times New Roman" w:cs="Times New Roman"/>
          <w:bCs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Сума договору може бути зменшена в залежності від реального фінансування видатків Замовника.</w:t>
      </w:r>
    </w:p>
    <w:p w14:paraId="0250C593" w14:textId="77777777" w:rsidR="00376230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Договору.</w:t>
      </w:r>
    </w:p>
    <w:p w14:paraId="6FB841C3" w14:textId="77777777" w:rsidR="00376230" w:rsidRDefault="00376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ABFB9E0" w14:textId="77777777" w:rsidR="00376230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>
        <w:rPr>
          <w:rFonts w:ascii="Times New Roman" w:eastAsia="Times New Roman" w:hAnsi="Times New Roman" w:cs="Times New Roman"/>
          <w:color w:val="000000"/>
        </w:rPr>
        <w:t xml:space="preserve">Ціна Договору складає _________ грн (_____________ грн ____ коп.) з/без ПДВ. </w:t>
      </w:r>
    </w:p>
    <w:p w14:paraId="784A7D4B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Договором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вказується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Договору</w:t>
      </w:r>
      <w:r>
        <w:rPr>
          <w:rFonts w:ascii="Times New Roman" w:eastAsia="Times New Roman" w:hAnsi="Times New Roman" w:cs="Times New Roman"/>
          <w:color w:val="222222"/>
          <w:sz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5CB5ABEB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переглядається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ринкових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енергоносії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т.п. з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обов'язковим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0913202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угоди, яка є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1D385630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визначена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страхування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сплату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розрахунку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входять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доручатимуться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особам. </w:t>
      </w:r>
    </w:p>
    <w:p w14:paraId="154F32A7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2.6. Валютою договору є гривня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A56E186" w14:textId="77777777" w:rsidR="00376230" w:rsidRDefault="00376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121695A5" w14:textId="77777777" w:rsidR="00376230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Товару.</w:t>
      </w:r>
    </w:p>
    <w:p w14:paraId="077784C1" w14:textId="77777777" w:rsidR="00376230" w:rsidRDefault="003762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0F2CA13B" w14:textId="77777777" w:rsidR="00376230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Якість поставленого Товару повинна відповідати умовам тендерної пропозиції та вимогам Замовника, а також відповідати вимогам ДСТУ, або ТУ, або іншим діючим нормативним документам, та умовам Договору.</w:t>
      </w:r>
    </w:p>
    <w:p w14:paraId="3E3201FE" w14:textId="77777777" w:rsidR="00376230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 Підтвердженням якості зі сторони Постачальника є документ, що засвідчує якість продукції, а саме декларації виробника (якісне посвідчення чи посвідчення про якість) та/або висновки державної санітарно-епідеміологічної експертизи тощо.</w:t>
      </w:r>
    </w:p>
    <w:p w14:paraId="1F833189" w14:textId="77777777" w:rsidR="00376230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 В момент здійснення поставки Товару Постачальник гарантує якість і надійність Товару, що постачається. Термін придатності продукції повинен складати на момент поставки не менше 70% від загального терміну придатності Товару, вказаного у документах виробника.</w:t>
      </w:r>
    </w:p>
    <w:p w14:paraId="07101A75" w14:textId="77777777" w:rsidR="00376230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 При виникненні у Замовника претензій, що пов’язані з поставкою Товару неналежної якості, Замовник повідомляє про це Постачальника в письмовій формі протягом 1 дня з моменту поставки. На підставі повідомлення Замовника Постачальник забезпечує прибуття свого представника на об’єкт Замовника, куди здійснювалось постачання.</w:t>
      </w:r>
    </w:p>
    <w:p w14:paraId="0FD3AB23" w14:textId="77777777" w:rsidR="00376230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3.5. Представники Сторін складають відповідні документи (акти), в яких зазначаються недоліки Товару. Акт, в якому зазначаються недоліки Товару, що пов’язані з поставкою Товару неналежної якості, складаються не пізніше 2-х днів з моменту поставки. Присутність представника Постачальника при складанні вказаних документів є обов’язковою.</w:t>
      </w:r>
    </w:p>
    <w:p w14:paraId="46590CC5" w14:textId="77777777" w:rsidR="00376230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3.6. Постачальник здійснює заміну Товару неналежної якості в строк не більше 3 робочих днів з моменту розгляду ним претензії Замовника.</w:t>
      </w:r>
    </w:p>
    <w:p w14:paraId="614BBE1A" w14:textId="77777777" w:rsidR="00376230" w:rsidRDefault="00376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31C8D1CC" w14:textId="77777777" w:rsidR="00376230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поставки Товару.</w:t>
      </w:r>
    </w:p>
    <w:p w14:paraId="00255D99" w14:textId="77777777" w:rsidR="00376230" w:rsidRDefault="003762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34846BEF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Поставка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поетапно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потреби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Заявка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надсилається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дублюватися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телефоном.</w:t>
      </w:r>
    </w:p>
    <w:p w14:paraId="572D6FE3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Товар повинен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затарений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спакований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таким чином (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виключити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поставки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зворотної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тари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пакування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входить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 </w:t>
      </w:r>
    </w:p>
    <w:p w14:paraId="052A4B4F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Тара, </w:t>
      </w:r>
      <w:proofErr w:type="gramStart"/>
      <w:r>
        <w:rPr>
          <w:rFonts w:ascii="Times New Roman" w:eastAsia="Times New Roman" w:hAnsi="Times New Roman" w:cs="Times New Roman"/>
          <w:sz w:val="24"/>
        </w:rPr>
        <w:t>у яку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затарено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спаковано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доставлений Товар, 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</w:rPr>
        <w:t>: ящики (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пластикові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дерев’яні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картонні</w:t>
      </w:r>
      <w:proofErr w:type="spellEnd"/>
      <w:r>
        <w:rPr>
          <w:rFonts w:ascii="Times New Roman" w:eastAsia="Times New Roman" w:hAnsi="Times New Roman" w:cs="Times New Roman"/>
          <w:sz w:val="24"/>
        </w:rPr>
        <w:t>), банки (</w:t>
      </w:r>
      <w:proofErr w:type="spellStart"/>
      <w:r>
        <w:rPr>
          <w:rFonts w:ascii="Times New Roman" w:eastAsia="Times New Roman" w:hAnsi="Times New Roman" w:cs="Times New Roman"/>
          <w:sz w:val="24"/>
        </w:rPr>
        <w:t>скляні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яєчна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пластикові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</w:rPr>
        <w:t>зворотною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тарою. </w:t>
      </w:r>
    </w:p>
    <w:p w14:paraId="4297C222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</w:rPr>
        <w:t>4.Повернення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зворотної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тару,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поверненні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фактичну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тару.</w:t>
      </w:r>
    </w:p>
    <w:p w14:paraId="52FF612D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поставляється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автомобільним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A3FD87C" w14:textId="77777777" w:rsidR="00376230" w:rsidRDefault="000000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4.6. Передача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Пунктом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є: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ДУ «ІПХС </w:t>
      </w:r>
      <w:proofErr w:type="spellStart"/>
      <w:r>
        <w:rPr>
          <w:rFonts w:ascii="Times New Roman" w:eastAsia="Times New Roman" w:hAnsi="Times New Roman" w:cs="Times New Roman"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М.І. </w:t>
      </w:r>
      <w:proofErr w:type="spellStart"/>
      <w:r>
        <w:rPr>
          <w:rFonts w:ascii="Times New Roman" w:eastAsia="Times New Roman" w:hAnsi="Times New Roman" w:cs="Times New Roman"/>
          <w:sz w:val="24"/>
        </w:rPr>
        <w:t>Ситенка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НАМНУ»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. Пушкінська,80,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Київський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район, 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Харків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Харківська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, 61024). </w:t>
      </w:r>
    </w:p>
    <w:p w14:paraId="6E60DE6B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154192C1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4.8.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ризиків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момент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0FA7AE8A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4.9.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передав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доставки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і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Товарносупровідними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Товарною накладною),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/передачу Товару). </w:t>
      </w:r>
    </w:p>
    <w:p w14:paraId="2EDF8EFE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4.10.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документ,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санітарно-епідеміологічної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експертизи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тару.</w:t>
      </w:r>
    </w:p>
    <w:p w14:paraId="517D7C37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4.11. </w:t>
      </w:r>
      <w:r>
        <w:rPr>
          <w:rFonts w:ascii="Times New Roman" w:eastAsia="Times New Roman" w:hAnsi="Times New Roman" w:cs="Times New Roman"/>
          <w:color w:val="000000"/>
          <w:sz w:val="24"/>
        </w:rPr>
        <w:t>Строк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поставки Товару: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року.</w:t>
      </w:r>
    </w:p>
    <w:p w14:paraId="561330EE" w14:textId="77777777" w:rsidR="00376230" w:rsidRDefault="003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9490A54" w14:textId="77777777" w:rsidR="00376230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421E199F" w14:textId="77777777" w:rsidR="00376230" w:rsidRDefault="00000000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14:paraId="17C9D230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</w:t>
      </w:r>
    </w:p>
    <w:p w14:paraId="349144B8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</w:rPr>
        <w:t>1.Достроково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систематичного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п’ять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4406130C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</w:rPr>
        <w:t>2.Контролювати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поставку Товару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14:paraId="381582C9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</w:rPr>
        <w:t>3.Зменшувати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2C47212D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</w:rPr>
        <w:t>2.Замовник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3FD0921D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на склад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F824969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засвідчують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 </w:t>
      </w:r>
    </w:p>
    <w:p w14:paraId="04472A0C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5.2.3.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направляти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продавцю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яке повинно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3924CD3A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 </w:t>
      </w:r>
    </w:p>
    <w:p w14:paraId="53E1ECC1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Товар.</w:t>
      </w:r>
    </w:p>
    <w:p w14:paraId="1D449B48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5.3.2.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п’ять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C05D399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5.3.3.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дострокову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поставку Товару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693887F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</w:rPr>
        <w:t>4.Постачальник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54E849FA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поставку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14:paraId="6E6ACD7D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</w:t>
      </w:r>
      <w:proofErr w:type="gramStart"/>
      <w:r>
        <w:rPr>
          <w:rFonts w:ascii="Times New Roman" w:eastAsia="Times New Roman" w:hAnsi="Times New Roman" w:cs="Times New Roman"/>
          <w:sz w:val="24"/>
        </w:rPr>
        <w:t>2.Забезпечити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поставку Товару з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придатним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діючих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показникам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супровідних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документах,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розділом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125A342A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</w:t>
      </w:r>
      <w:proofErr w:type="gramStart"/>
      <w:r>
        <w:rPr>
          <w:rFonts w:ascii="Times New Roman" w:eastAsia="Times New Roman" w:hAnsi="Times New Roman" w:cs="Times New Roman"/>
          <w:sz w:val="24"/>
        </w:rPr>
        <w:t>3.Надавати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документ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298FFD8F" w14:textId="77777777" w:rsidR="00376230" w:rsidRDefault="0037623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FF29AC" w14:textId="77777777" w:rsidR="00376230" w:rsidRDefault="0000000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EEE7357" w14:textId="77777777" w:rsidR="00376230" w:rsidRDefault="0037623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CBB1DC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Оплата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факту поставки Товару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згідно накладних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Остаточний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 оплати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15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п'ятнадцять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поставки Товару.</w:t>
      </w:r>
    </w:p>
    <w:p w14:paraId="0D733C49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6.2.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недостатністю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затримкою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надаватись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відстрочка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платежу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8DC7D8F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DC9A3E6" w14:textId="77777777" w:rsidR="00376230" w:rsidRDefault="00376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1BA19D4D" w14:textId="77777777" w:rsidR="00376230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спорів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221C5849" w14:textId="77777777" w:rsidR="00376230" w:rsidRDefault="003762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4739CAC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систематичні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відвантаженні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2%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відвантаженого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524E3625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платежу з вини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пеня,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розрахунку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день оплати.</w:t>
      </w:r>
    </w:p>
    <w:p w14:paraId="1D80041B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</w:rPr>
        <w:t>Ніяка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причин,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поза контролем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4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стихійні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лиха, </w:t>
      </w:r>
      <w:proofErr w:type="spellStart"/>
      <w:r>
        <w:rPr>
          <w:rFonts w:ascii="Times New Roman" w:eastAsia="Times New Roman" w:hAnsi="Times New Roman" w:cs="Times New Roman"/>
          <w:sz w:val="24"/>
        </w:rPr>
        <w:t>воєнні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32A5168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неможливим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кожною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відсувається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часу,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981D534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вищевказані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і  </w:t>
      </w:r>
      <w:proofErr w:type="spellStart"/>
      <w:r>
        <w:rPr>
          <w:rFonts w:ascii="Times New Roman" w:eastAsia="Times New Roman" w:hAnsi="Times New Roman" w:cs="Times New Roman"/>
          <w:sz w:val="24"/>
        </w:rPr>
        <w:t>їхні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тривають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30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Сторона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вправі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24DCFE3D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7.5. Сторона,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унаслідок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повинна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5-ти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Сторону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D12358A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органами.</w:t>
      </w:r>
    </w:p>
    <w:p w14:paraId="4E9CBEA2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суперечки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приводу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вирішувати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дійти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суду, </w:t>
      </w:r>
      <w:proofErr w:type="gramStart"/>
      <w:r>
        <w:rPr>
          <w:rFonts w:ascii="Times New Roman" w:eastAsia="Times New Roman" w:hAnsi="Times New Roman" w:cs="Times New Roman"/>
          <w:sz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E4A1BF9" w14:textId="77777777" w:rsidR="00376230" w:rsidRDefault="0037623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201878" w14:textId="77777777" w:rsidR="00376230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6657748E" w14:textId="77777777" w:rsidR="00376230" w:rsidRDefault="003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41F57EF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</w:t>
      </w:r>
      <w:r>
        <w:rPr>
          <w:rFonts w:ascii="Times New Roman" w:eastAsia="Times New Roman" w:hAnsi="Times New Roman" w:cs="Times New Roman"/>
          <w:sz w:val="24"/>
        </w:rPr>
        <w:t xml:space="preserve">;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частині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оплати Товару – </w:t>
      </w:r>
      <w:proofErr w:type="gramStart"/>
      <w:r>
        <w:rPr>
          <w:rFonts w:ascii="Times New Roman" w:eastAsia="Times New Roman" w:hAnsi="Times New Roman" w:cs="Times New Roman"/>
          <w:sz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взаєморозрахунків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Сторонами.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силу </w:t>
      </w:r>
      <w:proofErr w:type="gramStart"/>
      <w:r>
        <w:rPr>
          <w:rFonts w:ascii="Times New Roman" w:eastAsia="Times New Roman" w:hAnsi="Times New Roman" w:cs="Times New Roman"/>
          <w:sz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Сторонами. </w:t>
      </w:r>
    </w:p>
    <w:p w14:paraId="017D3855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узгодженням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BE6B373" w14:textId="77777777" w:rsidR="003762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передбачені ст.41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 з урахуванням Особливостей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C7F20D1" w14:textId="77777777" w:rsidR="003762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41AAF4B" w14:textId="77777777" w:rsidR="003762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товару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EC3A105" w14:textId="77777777" w:rsidR="003762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2050F50" w14:textId="77777777" w:rsidR="003762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7294961" w14:textId="77777777" w:rsidR="003762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75F0D57E" w14:textId="77777777" w:rsidR="003762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також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33B3903" w14:textId="77777777" w:rsidR="003762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“на добу наперед”,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06F3D9" w14:textId="77777777" w:rsidR="0037623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5FC57172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істотними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являються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змінюватися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Господарського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кодексів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349E034D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2CF16622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.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є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угоди.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угоди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прирівнюється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листами,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завіреними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печаткою (у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надала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3E7F2EE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факсимільного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силу </w:t>
      </w:r>
      <w:proofErr w:type="gramStart"/>
      <w:r>
        <w:rPr>
          <w:rFonts w:ascii="Times New Roman" w:eastAsia="Times New Roman" w:hAnsi="Times New Roman" w:cs="Times New Roman"/>
          <w:sz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оригіналами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одному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оригіналі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факсу/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поштою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45F605D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розголошенню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використанню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A00A9B3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Податковий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є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67B10AC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бюджетною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установою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неприбутковою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14:paraId="0A3B4565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Взаємовідносини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регламентуються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EE1DBEE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8.1</w:t>
      </w:r>
      <w:r>
        <w:rPr>
          <w:rFonts w:ascii="Times New Roman" w:eastAsia="Times New Roman" w:hAnsi="Times New Roman" w:cs="Times New Roman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силу.</w:t>
      </w:r>
    </w:p>
    <w:p w14:paraId="59BF01B1" w14:textId="77777777" w:rsidR="003762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</w:t>
      </w:r>
      <w:r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оброблення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збирання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передачу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14:paraId="0FB0C10A" w14:textId="77777777" w:rsidR="00376230" w:rsidRDefault="00000000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AEA5907" w14:textId="77777777" w:rsidR="00376230" w:rsidRDefault="00000000">
      <w:pPr>
        <w:pStyle w:val="2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  <w:szCs w:val="22"/>
          <w:lang w:val="uk-UA"/>
        </w:rPr>
      </w:pPr>
      <w:r>
        <w:rPr>
          <w:rFonts w:ascii="Times New Roman" w:hAnsi="Times New Roman"/>
          <w:b/>
          <w:szCs w:val="22"/>
          <w:lang w:val="uk-UA"/>
        </w:rPr>
        <w:t xml:space="preserve"> Додатки до договору</w:t>
      </w:r>
    </w:p>
    <w:p w14:paraId="5B662474" w14:textId="77777777" w:rsidR="00376230" w:rsidRDefault="00000000">
      <w:pPr>
        <w:pStyle w:val="2"/>
        <w:spacing w:after="0" w:line="240" w:lineRule="auto"/>
        <w:jc w:val="both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 xml:space="preserve">9.1. Невід’ємною частиною </w:t>
      </w:r>
      <w:r>
        <w:rPr>
          <w:rFonts w:ascii="Times New Roman" w:eastAsia="Times New Roman" w:hAnsi="Times New Roman"/>
          <w:color w:val="222222"/>
          <w:szCs w:val="22"/>
          <w:lang w:val="zh-CN" w:eastAsia="zh-CN"/>
        </w:rPr>
        <w:t>цього Договору є</w:t>
      </w:r>
      <w:r>
        <w:rPr>
          <w:rFonts w:ascii="Times New Roman" w:eastAsia="Times New Roman" w:hAnsi="Times New Roman"/>
          <w:color w:val="222222"/>
          <w:szCs w:val="22"/>
          <w:lang w:val="uk-UA" w:eastAsia="zh-CN"/>
        </w:rPr>
        <w:t xml:space="preserve"> </w:t>
      </w:r>
      <w:r>
        <w:rPr>
          <w:rFonts w:eastAsia="Times New Roman"/>
          <w:color w:val="222222"/>
          <w:szCs w:val="22"/>
          <w:lang w:val="zh-CN" w:eastAsia="zh-CN"/>
        </w:rPr>
        <w:t>Специфікація (Додаток 1)</w:t>
      </w:r>
      <w:r>
        <w:rPr>
          <w:rFonts w:eastAsia="Times New Roman"/>
          <w:color w:val="222222"/>
          <w:szCs w:val="22"/>
          <w:lang w:val="uk-UA" w:eastAsia="zh-CN"/>
        </w:rPr>
        <w:t>.</w:t>
      </w:r>
    </w:p>
    <w:p w14:paraId="789157D8" w14:textId="77777777" w:rsidR="00376230" w:rsidRDefault="00376230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AE3F446" w14:textId="77777777" w:rsidR="00376230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Юридичні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161F168C" w14:textId="77777777" w:rsidR="00376230" w:rsidRDefault="003762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3"/>
        <w:gridCol w:w="4224"/>
      </w:tblGrid>
      <w:tr w:rsidR="00376230" w14:paraId="77FB0060" w14:textId="77777777">
        <w:trPr>
          <w:trHeight w:val="3171"/>
        </w:trPr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0A8BD" w14:textId="77777777" w:rsidR="0037623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14:paraId="3146371F" w14:textId="77777777" w:rsidR="00376230" w:rsidRDefault="0037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DBD7FA5" w14:textId="77777777" w:rsidR="00376230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19D6BF8D" w14:textId="77777777" w:rsidR="00376230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 ЄДРПОУ: 02012214;</w:t>
            </w:r>
          </w:p>
          <w:p w14:paraId="5E7F3932" w14:textId="77777777" w:rsidR="00376230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ІПН:020122120311;</w:t>
            </w:r>
          </w:p>
          <w:p w14:paraId="51C21D1D" w14:textId="77777777" w:rsidR="00376230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Пушкінська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обл.,</w:t>
            </w:r>
          </w:p>
          <w:p w14:paraId="1EE3B53B" w14:textId="77777777" w:rsidR="00376230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61024;</w:t>
            </w:r>
          </w:p>
          <w:p w14:paraId="20AC6E27" w14:textId="77777777" w:rsidR="0037623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Р/рахунок:UA258201720343110001000001185</w:t>
            </w:r>
          </w:p>
          <w:p w14:paraId="120AA038" w14:textId="77777777" w:rsidR="0037623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UA418201720343101001200001185 в ДКСУ                       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МФО 820172;</w:t>
            </w:r>
          </w:p>
          <w:p w14:paraId="3CB133D9" w14:textId="6062C231" w:rsidR="0037623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Телефон: </w:t>
            </w:r>
            <w:r w:rsidR="007060F6">
              <w:rPr>
                <w:rFonts w:ascii="Times New Roman" w:eastAsia="Times New Roman" w:hAnsi="Times New Roman" w:cs="Times New Roman"/>
                <w:sz w:val="24"/>
                <w:lang w:val="uk-UA"/>
              </w:rPr>
              <w:t>057</w:t>
            </w:r>
            <w:r>
              <w:rPr>
                <w:rFonts w:ascii="Times New Roman" w:eastAsia="Times New Roman" w:hAnsi="Times New Roman" w:cs="Times New Roman"/>
                <w:sz w:val="24"/>
              </w:rPr>
              <w:t>7251442;</w:t>
            </w:r>
          </w:p>
          <w:p w14:paraId="751EEBD0" w14:textId="77777777" w:rsidR="00376230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ipps2008@ukr.net</w:t>
            </w:r>
          </w:p>
        </w:tc>
        <w:tc>
          <w:tcPr>
            <w:tcW w:w="4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97E8D" w14:textId="77777777" w:rsidR="00376230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2488C7F5" w14:textId="77777777" w:rsidR="00376230" w:rsidRDefault="0037623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E6BC896" w14:textId="77777777" w:rsidR="00376230" w:rsidRDefault="00376230">
            <w:pPr>
              <w:spacing w:after="0" w:line="240" w:lineRule="auto"/>
              <w:jc w:val="both"/>
            </w:pPr>
          </w:p>
        </w:tc>
      </w:tr>
    </w:tbl>
    <w:p w14:paraId="734A5390" w14:textId="77777777" w:rsidR="00376230" w:rsidRDefault="003762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74C2B6" w14:textId="77777777" w:rsidR="0037623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Підписи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6B5E7C48" w14:textId="77777777" w:rsidR="00376230" w:rsidRDefault="00376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80"/>
      </w:tblGrid>
      <w:tr w:rsidR="00376230" w14:paraId="13C00D82" w14:textId="77777777">
        <w:trPr>
          <w:trHeight w:val="2811"/>
        </w:trPr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2D0E4" w14:textId="77777777" w:rsidR="0037623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0CA482B0" w14:textId="77777777" w:rsidR="00376230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1E3654D5" w14:textId="77777777" w:rsidR="00376230" w:rsidRDefault="0037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614061" w14:textId="77777777" w:rsidR="0037623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в.о. 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д.м.н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  <w:p w14:paraId="1EEF8A47" w14:textId="77777777" w:rsidR="00376230" w:rsidRDefault="0037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9892BE" w14:textId="77777777" w:rsidR="00376230" w:rsidRDefault="0037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4271C5" w14:textId="77777777" w:rsidR="0037623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Станіслав Бондаренко</w:t>
            </w:r>
          </w:p>
          <w:p w14:paraId="3E1357E0" w14:textId="77777777" w:rsidR="00376230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F06E4" w14:textId="77777777" w:rsidR="00376230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C581C7D" w14:textId="77777777" w:rsidR="00376230" w:rsidRDefault="0037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49C212" w14:textId="77777777" w:rsidR="00376230" w:rsidRDefault="0037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A72481" w14:textId="77777777" w:rsidR="00376230" w:rsidRDefault="0037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3014FF" w14:textId="77777777" w:rsidR="00376230" w:rsidRDefault="0037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14:paraId="79A253F3" w14:textId="77777777" w:rsidR="0037623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 </w:t>
            </w:r>
          </w:p>
          <w:p w14:paraId="637B7EE5" w14:textId="77777777" w:rsidR="00376230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</w:tr>
    </w:tbl>
    <w:p w14:paraId="49D2E06F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F8E29C" w14:textId="77777777" w:rsidR="00376230" w:rsidRDefault="003762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1A3DCF" w14:textId="77777777" w:rsidR="00376230" w:rsidRDefault="003762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C1FE73" w14:textId="77777777" w:rsidR="00376230" w:rsidRDefault="0037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6E4B49DB" w14:textId="77777777" w:rsidR="00376230" w:rsidRDefault="0037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595D4CB8" w14:textId="77777777" w:rsidR="00376230" w:rsidRDefault="0037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6B5519EA" w14:textId="77777777" w:rsidR="003762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14:paraId="3AD01580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D5B421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C2DA8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204D70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479F80" w14:textId="47C0C531" w:rsidR="007060F6" w:rsidRDefault="0070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4959B826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BEB4DC" w14:textId="77777777" w:rsidR="003762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№1</w:t>
      </w:r>
    </w:p>
    <w:p w14:paraId="342D4113" w14:textId="77777777" w:rsidR="003762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до Договору №_______</w:t>
      </w:r>
    </w:p>
    <w:p w14:paraId="472657FC" w14:textId="77777777" w:rsidR="003762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від «_____»__________2024 р.</w:t>
      </w:r>
    </w:p>
    <w:p w14:paraId="250A2F79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12CBEF08" w14:textId="77777777" w:rsidR="00376230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СПЕЦИФІКАЦІЯ</w:t>
      </w:r>
    </w:p>
    <w:p w14:paraId="349DB09E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36A4C7F6" w14:textId="77777777" w:rsidR="00C27FBB" w:rsidRPr="007060F6" w:rsidRDefault="00C27FBB" w:rsidP="00C2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27FB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Молоко згущене, звичайне, з цукром, 8,5%, 370г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.</w:t>
      </w:r>
    </w:p>
    <w:p w14:paraId="6B780F9C" w14:textId="77777777" w:rsidR="00376230" w:rsidRPr="007060F6" w:rsidRDefault="003762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val="uk-UA"/>
        </w:rPr>
      </w:pPr>
    </w:p>
    <w:p w14:paraId="77FBC2CA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72" w:type="dxa"/>
        <w:tblLayout w:type="fixed"/>
        <w:tblLook w:val="04A0" w:firstRow="1" w:lastRow="0" w:firstColumn="1" w:lastColumn="0" w:noHBand="0" w:noVBand="1"/>
      </w:tblPr>
      <w:tblGrid>
        <w:gridCol w:w="704"/>
        <w:gridCol w:w="1832"/>
        <w:gridCol w:w="1846"/>
        <w:gridCol w:w="1327"/>
        <w:gridCol w:w="1298"/>
        <w:gridCol w:w="1458"/>
        <w:gridCol w:w="1307"/>
      </w:tblGrid>
      <w:tr w:rsidR="00376230" w14:paraId="5C883E95" w14:textId="77777777" w:rsidTr="007060F6">
        <w:tc>
          <w:tcPr>
            <w:tcW w:w="704" w:type="dxa"/>
          </w:tcPr>
          <w:p w14:paraId="106CA79C" w14:textId="77777777" w:rsidR="00376230" w:rsidRDefault="0037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366D8A0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B913A82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32" w:type="dxa"/>
          </w:tcPr>
          <w:p w14:paraId="5D7E5289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1846" w:type="dxa"/>
          </w:tcPr>
          <w:p w14:paraId="52312C48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27" w:type="dxa"/>
          </w:tcPr>
          <w:p w14:paraId="437CB02E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98" w:type="dxa"/>
          </w:tcPr>
          <w:p w14:paraId="217FAF60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58" w:type="dxa"/>
          </w:tcPr>
          <w:p w14:paraId="3A77C779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Ціна за одиницю виміру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товару,грн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з ПДВ</w:t>
            </w:r>
          </w:p>
        </w:tc>
        <w:tc>
          <w:tcPr>
            <w:tcW w:w="1307" w:type="dxa"/>
          </w:tcPr>
          <w:p w14:paraId="202C3F61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з ПДВ </w:t>
            </w:r>
          </w:p>
        </w:tc>
      </w:tr>
      <w:tr w:rsidR="00376230" w14:paraId="27F5F5DF" w14:textId="77777777" w:rsidTr="007060F6">
        <w:tc>
          <w:tcPr>
            <w:tcW w:w="704" w:type="dxa"/>
          </w:tcPr>
          <w:p w14:paraId="71D5CBDE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32" w:type="dxa"/>
          </w:tcPr>
          <w:p w14:paraId="35AD689E" w14:textId="2487BD87" w:rsidR="00C27FBB" w:rsidRDefault="00C27FBB" w:rsidP="007060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EFD"/>
              </w:rPr>
            </w:pPr>
            <w:r w:rsidRPr="00C27FB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155116009</w:t>
            </w:r>
            <w:r w:rsidRPr="00C27FBB">
              <w:rPr>
                <w:rFonts w:ascii="Arial" w:hAnsi="Arial" w:cs="Arial"/>
                <w:color w:val="000000"/>
                <w:sz w:val="20"/>
                <w:szCs w:val="20"/>
                <w:shd w:val="clear" w:color="auto" w:fill="FDFEFD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EFD"/>
              </w:rPr>
              <w:t>–</w:t>
            </w:r>
            <w:r w:rsidRPr="00C27FBB">
              <w:rPr>
                <w:rFonts w:ascii="Arial" w:hAnsi="Arial" w:cs="Arial"/>
                <w:color w:val="000000"/>
                <w:sz w:val="20"/>
                <w:szCs w:val="20"/>
                <w:shd w:val="clear" w:color="auto" w:fill="FDFEFD"/>
              </w:rPr>
              <w:t> </w:t>
            </w:r>
          </w:p>
          <w:p w14:paraId="31FAF983" w14:textId="744C7EE7" w:rsidR="00376230" w:rsidRPr="00C27FBB" w:rsidRDefault="00C27FBB" w:rsidP="0070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27FB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Згущене</w:t>
            </w:r>
            <w:proofErr w:type="spellEnd"/>
            <w:r w:rsidRPr="00C27FB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молоко</w:t>
            </w:r>
          </w:p>
        </w:tc>
        <w:tc>
          <w:tcPr>
            <w:tcW w:w="1846" w:type="dxa"/>
          </w:tcPr>
          <w:p w14:paraId="0442E5CB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15765000" w14:textId="24794B73" w:rsidR="00376230" w:rsidRDefault="00C2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370</w:t>
            </w:r>
          </w:p>
        </w:tc>
        <w:tc>
          <w:tcPr>
            <w:tcW w:w="1298" w:type="dxa"/>
          </w:tcPr>
          <w:p w14:paraId="76E7CCC4" w14:textId="62A22B67" w:rsidR="00376230" w:rsidRDefault="00C2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58" w:type="dxa"/>
          </w:tcPr>
          <w:p w14:paraId="35A760F5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07" w:type="dxa"/>
          </w:tcPr>
          <w:p w14:paraId="713F6441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76230" w14:paraId="0A7A21DC" w14:textId="77777777" w:rsidTr="007060F6">
        <w:tc>
          <w:tcPr>
            <w:tcW w:w="704" w:type="dxa"/>
          </w:tcPr>
          <w:p w14:paraId="21E620FD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14:paraId="148C4D80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</w:tcPr>
          <w:p w14:paraId="6585D4D4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3" w:type="dxa"/>
            <w:gridSpan w:val="3"/>
          </w:tcPr>
          <w:p w14:paraId="5A42C518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</w:t>
            </w:r>
          </w:p>
        </w:tc>
        <w:tc>
          <w:tcPr>
            <w:tcW w:w="1307" w:type="dxa"/>
          </w:tcPr>
          <w:p w14:paraId="4E902221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76230" w14:paraId="0C5531D7" w14:textId="77777777" w:rsidTr="007060F6">
        <w:tc>
          <w:tcPr>
            <w:tcW w:w="704" w:type="dxa"/>
          </w:tcPr>
          <w:p w14:paraId="0A71AE8C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14:paraId="4641D81F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</w:tcPr>
          <w:p w14:paraId="670CFDFE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3" w:type="dxa"/>
            <w:gridSpan w:val="3"/>
          </w:tcPr>
          <w:p w14:paraId="7878E637" w14:textId="77777777" w:rsidR="0037623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ПДВ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07" w:type="dxa"/>
          </w:tcPr>
          <w:p w14:paraId="5124D03A" w14:textId="77777777" w:rsidR="00376230" w:rsidRDefault="003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B65C6BE" w14:textId="77777777" w:rsidR="00376230" w:rsidRDefault="0037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86455C" w14:textId="77777777" w:rsidR="00376230" w:rsidRDefault="0037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1FA833" w14:textId="77777777" w:rsidR="00376230" w:rsidRDefault="00000000">
      <w:pPr>
        <w:tabs>
          <w:tab w:val="right" w:pos="8505"/>
        </w:tabs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ПДВ ________</w:t>
      </w:r>
    </w:p>
    <w:p w14:paraId="058474D6" w14:textId="77777777" w:rsidR="00376230" w:rsidRDefault="0037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2F415" w14:textId="77777777" w:rsidR="00376230" w:rsidRDefault="0037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DAA843" w14:textId="77777777" w:rsidR="0037623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Підписи сторін:</w:t>
      </w:r>
    </w:p>
    <w:p w14:paraId="1E75FBFE" w14:textId="77777777" w:rsidR="00376230" w:rsidRDefault="0037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50F719" w14:textId="77777777" w:rsidR="00376230" w:rsidRDefault="0037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2439EC" w14:textId="77777777" w:rsidR="00376230" w:rsidRDefault="0037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CEE349" w14:textId="77777777" w:rsidR="003762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Постачальник:</w:t>
      </w:r>
    </w:p>
    <w:p w14:paraId="53F2251C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B8688DA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33CD954" w14:textId="77777777" w:rsidR="003762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ДУ «ІПХС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ім.проф.М.І.Ситенка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НАМНУ»</w:t>
      </w:r>
    </w:p>
    <w:p w14:paraId="106A45F5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80A84B2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917F73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D33000" w14:textId="77777777" w:rsidR="003762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Директор</w:t>
      </w:r>
    </w:p>
    <w:p w14:paraId="5EE545F1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B91581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37ABF5F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0C5A42" w14:textId="77777777" w:rsidR="00376230" w:rsidRDefault="0037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FEF5909" w14:textId="77777777" w:rsidR="003762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 Станіслав Бондаренко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3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A0A9" w14:textId="77777777" w:rsidR="009D7577" w:rsidRDefault="009D7577">
      <w:pPr>
        <w:spacing w:line="240" w:lineRule="auto"/>
      </w:pPr>
      <w:r>
        <w:separator/>
      </w:r>
    </w:p>
  </w:endnote>
  <w:endnote w:type="continuationSeparator" w:id="0">
    <w:p w14:paraId="2E1E3A72" w14:textId="77777777" w:rsidR="009D7577" w:rsidRDefault="009D7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B17F" w14:textId="77777777" w:rsidR="009D7577" w:rsidRDefault="009D7577">
      <w:pPr>
        <w:spacing w:after="0"/>
      </w:pPr>
      <w:r>
        <w:separator/>
      </w:r>
    </w:p>
  </w:footnote>
  <w:footnote w:type="continuationSeparator" w:id="0">
    <w:p w14:paraId="6E998C75" w14:textId="77777777" w:rsidR="009D7577" w:rsidRDefault="009D75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5300"/>
    <w:multiLevelType w:val="singleLevel"/>
    <w:tmpl w:val="4C885300"/>
    <w:lvl w:ilvl="0">
      <w:start w:val="1"/>
      <w:numFmt w:val="decimal"/>
      <w:suff w:val="space"/>
      <w:lvlText w:val="%1."/>
      <w:lvlJc w:val="left"/>
    </w:lvl>
  </w:abstractNum>
  <w:num w:numId="1" w16cid:durableId="62319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E"/>
    <w:rsid w:val="00116992"/>
    <w:rsid w:val="00163E5E"/>
    <w:rsid w:val="00190905"/>
    <w:rsid w:val="001B0EC0"/>
    <w:rsid w:val="00376230"/>
    <w:rsid w:val="003E089F"/>
    <w:rsid w:val="00506A4E"/>
    <w:rsid w:val="00547223"/>
    <w:rsid w:val="00654EC1"/>
    <w:rsid w:val="0070179A"/>
    <w:rsid w:val="007060F6"/>
    <w:rsid w:val="007B47CE"/>
    <w:rsid w:val="008720AA"/>
    <w:rsid w:val="00886C73"/>
    <w:rsid w:val="009D7577"/>
    <w:rsid w:val="00A96548"/>
    <w:rsid w:val="00AD1F5E"/>
    <w:rsid w:val="00AF6529"/>
    <w:rsid w:val="00B41C18"/>
    <w:rsid w:val="00B64A2B"/>
    <w:rsid w:val="00B73255"/>
    <w:rsid w:val="00BF3F7B"/>
    <w:rsid w:val="00C27FBB"/>
    <w:rsid w:val="00C8789E"/>
    <w:rsid w:val="00CA25A5"/>
    <w:rsid w:val="00D31CCA"/>
    <w:rsid w:val="00E076B3"/>
    <w:rsid w:val="00F07733"/>
    <w:rsid w:val="129D6A54"/>
    <w:rsid w:val="17FC3D5D"/>
    <w:rsid w:val="19767855"/>
    <w:rsid w:val="20B66977"/>
    <w:rsid w:val="3FF17476"/>
    <w:rsid w:val="55212571"/>
    <w:rsid w:val="5DC436B8"/>
    <w:rsid w:val="60C96BD0"/>
    <w:rsid w:val="6C445BAD"/>
    <w:rsid w:val="72705F33"/>
    <w:rsid w:val="7C1C4090"/>
    <w:rsid w:val="7D6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5F41"/>
  <w15:docId w15:val="{76DED250-F9CC-4D89-9215-2E09A05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spacing w:after="120" w:line="480" w:lineRule="auto"/>
    </w:pPr>
    <w:rPr>
      <w:rFonts w:ascii="Academy" w:hAnsi="Academy"/>
      <w:szCs w:val="20"/>
      <w:lang w:val="en-US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pPr>
      <w:widowControl w:val="0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2625</Words>
  <Characters>14967</Characters>
  <Application>Microsoft Office Word</Application>
  <DocSecurity>0</DocSecurity>
  <Lines>124</Lines>
  <Paragraphs>35</Paragraphs>
  <ScaleCrop>false</ScaleCrop>
  <Company/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2024-01-19T18:45:00Z</dcterms:created>
  <dcterms:modified xsi:type="dcterms:W3CDTF">2024-01-19T18:45:00Z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5F41F6F660224D7BB45295B300F43D10_13</vt:lpwstr>
  </property>
</Properties>
</file>