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8A" w:rsidRPr="007A03A3" w:rsidRDefault="00256C8A" w:rsidP="0025397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03A3">
        <w:rPr>
          <w:rFonts w:ascii="Times New Roman" w:hAnsi="Times New Roman" w:cs="Times New Roman"/>
          <w:b/>
          <w:i/>
          <w:sz w:val="24"/>
          <w:szCs w:val="24"/>
        </w:rPr>
        <w:t>Додаток</w:t>
      </w:r>
      <w:proofErr w:type="spellEnd"/>
      <w:r w:rsidRPr="007A03A3">
        <w:rPr>
          <w:rFonts w:ascii="Times New Roman" w:hAnsi="Times New Roman" w:cs="Times New Roman"/>
          <w:b/>
          <w:i/>
          <w:sz w:val="24"/>
          <w:szCs w:val="24"/>
        </w:rPr>
        <w:t xml:space="preserve"> №3</w:t>
      </w:r>
      <w:r w:rsidRPr="007A03A3">
        <w:rPr>
          <w:rFonts w:ascii="Times New Roman" w:hAnsi="Times New Roman" w:cs="Times New Roman"/>
          <w:b/>
          <w:i/>
          <w:sz w:val="24"/>
          <w:szCs w:val="24"/>
        </w:rPr>
        <w:br/>
        <w:t xml:space="preserve"> до </w:t>
      </w:r>
      <w:proofErr w:type="spellStart"/>
      <w:r w:rsidRPr="007A03A3">
        <w:rPr>
          <w:rFonts w:ascii="Times New Roman" w:hAnsi="Times New Roman" w:cs="Times New Roman"/>
          <w:b/>
          <w:i/>
          <w:sz w:val="24"/>
          <w:szCs w:val="24"/>
        </w:rPr>
        <w:t>тендерноїдокументації</w:t>
      </w:r>
      <w:proofErr w:type="spellEnd"/>
    </w:p>
    <w:p w:rsidR="00256C8A" w:rsidRPr="00476309" w:rsidRDefault="00256C8A" w:rsidP="00256C8A">
      <w:pPr>
        <w:rPr>
          <w:lang w:val="uk-UA"/>
        </w:rPr>
      </w:pPr>
    </w:p>
    <w:p w:rsidR="00256C8A" w:rsidRPr="0025397C" w:rsidRDefault="00256C8A" w:rsidP="00256C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A03A3">
        <w:rPr>
          <w:rFonts w:ascii="Times New Roman" w:hAnsi="Times New Roman" w:cs="Times New Roman"/>
          <w:b/>
          <w:sz w:val="28"/>
          <w:szCs w:val="28"/>
        </w:rPr>
        <w:t>Медико-технічнівимоги</w:t>
      </w:r>
      <w:proofErr w:type="spellEnd"/>
      <w:r w:rsidRPr="007A03A3">
        <w:rPr>
          <w:rFonts w:ascii="Times New Roman" w:hAnsi="Times New Roman" w:cs="Times New Roman"/>
          <w:b/>
          <w:sz w:val="28"/>
          <w:szCs w:val="28"/>
        </w:rPr>
        <w:t xml:space="preserve"> до товару:</w:t>
      </w:r>
    </w:p>
    <w:p w:rsidR="00F03DF1" w:rsidRDefault="008B333C" w:rsidP="007A03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33C">
        <w:rPr>
          <w:rFonts w:ascii="Times New Roman" w:hAnsi="Times New Roman" w:cs="Times New Roman"/>
          <w:b/>
          <w:sz w:val="28"/>
          <w:szCs w:val="28"/>
        </w:rPr>
        <w:t xml:space="preserve">Код ДК 021:2015: 33140000-3 </w:t>
      </w:r>
      <w:r w:rsidR="00752A03">
        <w:rPr>
          <w:rFonts w:ascii="Times New Roman" w:hAnsi="Times New Roman" w:cs="Times New Roman"/>
          <w:b/>
          <w:sz w:val="28"/>
          <w:szCs w:val="28"/>
        </w:rPr>
        <w:t>–</w:t>
      </w:r>
      <w:r w:rsidRPr="008B3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33C">
        <w:rPr>
          <w:rFonts w:ascii="Times New Roman" w:hAnsi="Times New Roman" w:cs="Times New Roman"/>
          <w:b/>
          <w:sz w:val="28"/>
          <w:szCs w:val="28"/>
        </w:rPr>
        <w:t>Медичні</w:t>
      </w:r>
      <w:proofErr w:type="spellEnd"/>
      <w:r w:rsidR="00F83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B333C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="00752A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333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B333C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8B3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333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B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A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стоматологічного </w:t>
      </w:r>
      <w:r w:rsidRPr="008B3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33C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8B333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-2" w:type="dxa"/>
          <w:right w:w="0" w:type="dxa"/>
        </w:tblCellMar>
        <w:tblLook w:val="00A0"/>
      </w:tblPr>
      <w:tblGrid>
        <w:gridCol w:w="364"/>
        <w:gridCol w:w="3032"/>
        <w:gridCol w:w="1164"/>
        <w:gridCol w:w="1051"/>
        <w:gridCol w:w="5163"/>
      </w:tblGrid>
      <w:tr w:rsidR="00752A03" w:rsidRPr="0025397C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proofErr w:type="gram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397C">
              <w:rPr>
                <w:rFonts w:ascii="Times New Roman" w:eastAsia="Arial" w:hAnsi="Times New Roman" w:cs="Times New Roman"/>
                <w:sz w:val="24"/>
                <w:szCs w:val="24"/>
              </w:rPr>
              <w:t>Конкретна</w:t>
            </w:r>
            <w:r w:rsidRPr="002539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97C">
              <w:rPr>
                <w:rFonts w:ascii="Times New Roman" w:eastAsia="Arial" w:hAnsi="Times New Roman" w:cs="Times New Roman"/>
                <w:sz w:val="24"/>
                <w:szCs w:val="24"/>
              </w:rPr>
              <w:t>назва</w:t>
            </w:r>
            <w:proofErr w:type="spellEnd"/>
            <w:r w:rsidRPr="002539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2A03" w:rsidRPr="0025397C" w:rsidRDefault="00752A03" w:rsidP="00CA326E">
            <w:pPr>
              <w:suppressLineNumber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5397C">
              <w:rPr>
                <w:rFonts w:ascii="Times New Roman" w:eastAsia="Arial" w:hAnsi="Times New Roman" w:cs="Times New Roman"/>
                <w:sz w:val="24"/>
                <w:szCs w:val="24"/>
              </w:rPr>
              <w:t>предмету</w:t>
            </w:r>
            <w:r w:rsidRPr="002539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97C">
              <w:rPr>
                <w:rFonts w:ascii="Times New Roman" w:eastAsia="Arial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25397C">
              <w:rPr>
                <w:rFonts w:ascii="Times New Roman" w:eastAsia="Arial" w:hAnsi="Times New Roman" w:cs="Times New Roman"/>
                <w:sz w:val="24"/>
                <w:szCs w:val="24"/>
              </w:rPr>
              <w:t>вл</w:t>
            </w:r>
            <w:proofErr w:type="gramEnd"/>
            <w:r w:rsidRPr="0025397C">
              <w:rPr>
                <w:rFonts w:ascii="Times New Roman" w:eastAsia="Arial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Одиниця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виміру</w:t>
            </w:r>
            <w:proofErr w:type="spellEnd"/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Кількість</w:t>
            </w:r>
            <w:proofErr w:type="spellEnd"/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5397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Характеристика</w:t>
            </w:r>
          </w:p>
        </w:tc>
      </w:tr>
      <w:tr w:rsidR="00752A03" w:rsidRPr="0025397C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widowControl w:val="0"/>
              <w:spacing w:after="60"/>
              <w:ind w:right="113" w:hanging="2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Adhesor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Адгезор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) - </w:t>
            </w:r>
            <w:proofErr w:type="spellStart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цинк-фосфатний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цемент</w:t>
            </w: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 xml:space="preserve"> (або еквівалент)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9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33141810-1 Матеріали для пломбування зубів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 xml:space="preserve">16710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Стоматологічний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цемент на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основі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фосфату цинку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Двокомпонентний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цинкофосфатний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цемент у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вигляді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порошку та </w:t>
            </w:r>
            <w:proofErr w:type="spellStart"/>
            <w:proofErr w:type="gram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</w:t>
            </w:r>
            <w:proofErr w:type="gram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ідини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Цемент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хорошими</w:t>
            </w:r>
            <w:proofErr w:type="gram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механічними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властивостями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регульованим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робочим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часом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і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консистенцією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</w:p>
          <w:p w:rsidR="00752A03" w:rsidRPr="0025397C" w:rsidRDefault="00752A03" w:rsidP="00CA326E">
            <w:pPr>
              <w:suppressLineNumbers/>
              <w:spacing w:after="283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Показання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: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1)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Матеріал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для прокладок </w:t>
            </w:r>
            <w:proofErr w:type="spellStart"/>
            <w:proofErr w:type="gram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ід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амальгамові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та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композитні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пломби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2) </w:t>
            </w:r>
            <w:proofErr w:type="spellStart"/>
            <w:proofErr w:type="gram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Матер</w:t>
            </w:r>
            <w:proofErr w:type="gram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іал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для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тимчасових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пломб.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3)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Фіксація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коронок та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мості</w:t>
            </w:r>
            <w:proofErr w:type="gram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</w:t>
            </w:r>
            <w:proofErr w:type="spellEnd"/>
            <w:proofErr w:type="gram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4)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Пломбування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кореневих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каналі</w:t>
            </w:r>
            <w:proofErr w:type="gram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</w:t>
            </w:r>
            <w:proofErr w:type="spellEnd"/>
            <w:proofErr w:type="gram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Комплектація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:</w:t>
            </w:r>
          </w:p>
          <w:p w:rsidR="00752A03" w:rsidRPr="0025397C" w:rsidRDefault="00752A03" w:rsidP="00731F58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80 г порошку + 55 г </w:t>
            </w:r>
            <w:proofErr w:type="spellStart"/>
            <w:proofErr w:type="gram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</w:t>
            </w:r>
            <w:proofErr w:type="gram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ідини</w:t>
            </w:r>
            <w:proofErr w:type="spellEnd"/>
          </w:p>
        </w:tc>
      </w:tr>
      <w:tr w:rsidR="00752A03" w:rsidRPr="0025397C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0519BB" w:rsidRDefault="000519BB" w:rsidP="000519BB">
            <w:pPr>
              <w:widowControl w:val="0"/>
              <w:spacing w:after="60"/>
              <w:ind w:right="113" w:hanging="2"/>
              <w:jc w:val="both"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proofErr w:type="spellStart"/>
            <w:r w:rsidRPr="007A74EA">
              <w:rPr>
                <w:rFonts w:ascii="Times New Roman" w:hAnsi="Times New Roman" w:cs="Times New Roman"/>
                <w:b/>
                <w:color w:val="00000A"/>
                <w:lang w:val="en-US" w:eastAsia="zh-CN" w:bidi="hi-IN"/>
              </w:rPr>
              <w:t>Endochlor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3%</w:t>
            </w:r>
          </w:p>
          <w:p w:rsidR="000519BB" w:rsidRPr="007A74EA" w:rsidRDefault="000519BB" w:rsidP="000519BB">
            <w:pPr>
              <w:widowControl w:val="0"/>
              <w:spacing w:after="60"/>
              <w:ind w:right="113" w:hanging="2"/>
              <w:jc w:val="both"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7A74EA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Ендохлор3%250</w:t>
            </w:r>
            <w:r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м</w:t>
            </w:r>
            <w:r w:rsidRPr="007A74EA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л.</w:t>
            </w:r>
            <w:r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 xml:space="preserve">+ендо 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шприц+конектор</w:t>
            </w:r>
            <w:r>
              <w:rPr>
                <w:rFonts w:ascii="Times New Roman" w:hAnsi="Times New Roman" w:cs="Times New Roman"/>
                <w:b/>
                <w:color w:val="00000A"/>
                <w:lang w:val="en-US" w:eastAsia="zh-CN" w:bidi="hi-IN"/>
              </w:rPr>
              <w:t>luerlock</w:t>
            </w:r>
            <w:proofErr w:type="spellEnd"/>
            <w:r w:rsidRPr="002332E9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 xml:space="preserve">(або </w:t>
            </w:r>
            <w:proofErr w:type="spellStart"/>
            <w:r w:rsidRPr="002332E9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екв</w:t>
            </w:r>
            <w:r>
              <w:rPr>
                <w:rFonts w:ascii="Times New Roman" w:hAnsi="Times New Roman" w:cs="Times New Roman"/>
                <w:b/>
                <w:color w:val="00000A"/>
                <w:lang w:val="en-US" w:eastAsia="zh-CN" w:bidi="hi-IN"/>
              </w:rPr>
              <w:t>i</w:t>
            </w:r>
            <w:r w:rsidRPr="002332E9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валент</w:t>
            </w:r>
            <w:proofErr w:type="spellEnd"/>
            <w:r w:rsidRPr="002332E9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)</w:t>
            </w:r>
          </w:p>
          <w:p w:rsidR="00752A03" w:rsidRPr="0025397C" w:rsidRDefault="00752A03" w:rsidP="00CA326E">
            <w:pPr>
              <w:widowControl w:val="0"/>
              <w:spacing w:after="60"/>
              <w:ind w:right="113" w:hanging="2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33141800-8 </w:t>
            </w:r>
            <w:proofErr w:type="spellStart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Стоматологічні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матеріали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34524 - Розчин стоматологічний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для промивання каналів коренів зубів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ідина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стоматології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каріозних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порожнин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кореневих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каналів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препарування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дезінфекції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порожнин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кореневих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каналів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висушування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Речовина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одноразового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2A03" w:rsidRPr="0025397C" w:rsidRDefault="00752A03" w:rsidP="00CA326E">
            <w:pPr>
              <w:widowControl w:val="0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Гіпохлорит</w:t>
            </w:r>
            <w:proofErr w:type="spellEnd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натрію 3%</w:t>
            </w:r>
          </w:p>
          <w:p w:rsidR="00752A03" w:rsidRPr="0025397C" w:rsidRDefault="00752A03" w:rsidP="000519BB">
            <w:pPr>
              <w:widowControl w:val="0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Гіпохлорит</w:t>
            </w:r>
            <w:proofErr w:type="spellEnd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натрію  не менше 2</w:t>
            </w:r>
            <w:r w:rsidR="000519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                                            </w:t>
            </w:r>
          </w:p>
        </w:tc>
      </w:tr>
      <w:tr w:rsidR="00752A03" w:rsidRPr="00731F58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widowControl w:val="0"/>
              <w:spacing w:after="60"/>
              <w:ind w:right="113" w:hanging="2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Кальцизоль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Calcisole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)  </w:t>
            </w: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Latus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прокладка або еквівалент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33141810-1 </w:t>
            </w:r>
            <w:proofErr w:type="spellStart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Матеріали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для </w:t>
            </w:r>
            <w:proofErr w:type="spellStart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пломбування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зубі</w:t>
            </w:r>
            <w:proofErr w:type="gramStart"/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</w:t>
            </w:r>
            <w:proofErr w:type="spellEnd"/>
            <w:proofErr w:type="gramEnd"/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47232 - Суспензія гідроксиду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кальцію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</w:p>
          <w:p w:rsidR="00752A03" w:rsidRPr="0025397C" w:rsidRDefault="00752A03" w:rsidP="00CA326E">
            <w:pPr>
              <w:widowControl w:val="0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Паста призначена до застосування в стоматології як прокладка при лікуванні глибокого карієсу під постійні і тимчасові пломби, для захисту пульпи від бактеріальних і хімічних впливів, для регенерації травмованої або запаленої пульпи при пульпітах.</w:t>
            </w:r>
          </w:p>
          <w:p w:rsidR="00752A03" w:rsidRPr="0025397C" w:rsidRDefault="00752A03" w:rsidP="00CA326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Властивості</w:t>
            </w:r>
          </w:p>
          <w:p w:rsidR="00752A03" w:rsidRPr="0025397C" w:rsidRDefault="00752A03" w:rsidP="00CA326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 Представляє собою готову до  застосування пасту білого кольору. Нанесений шар пасти швидко висихає, утворюючи досить міцну захисну плівку, яка тривалий час підтримує підвищену лужну реакцію (до </w:t>
            </w: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рН</w:t>
            </w:r>
            <w:proofErr w:type="spellEnd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12), стимулює регенераційні процеси в тканинах зуба і має антимікробну дію. Іони фтору, що виділяються протягом тривалого часу, забезпечують високий </w:t>
            </w: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протикарієсний</w:t>
            </w:r>
            <w:proofErr w:type="spellEnd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ефект. </w:t>
            </w:r>
          </w:p>
          <w:p w:rsidR="00752A03" w:rsidRPr="0025397C" w:rsidRDefault="00752A03" w:rsidP="00CA326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Паста є </w:t>
            </w: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рентгеноконтрастною</w:t>
            </w:r>
            <w:proofErr w:type="spellEnd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52A03" w:rsidRPr="0025397C" w:rsidRDefault="00752A03" w:rsidP="00CA326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Форми випуску:</w:t>
            </w:r>
          </w:p>
          <w:p w:rsidR="00752A03" w:rsidRPr="0025397C" w:rsidRDefault="00752A03" w:rsidP="00707BFA">
            <w:pPr>
              <w:tabs>
                <w:tab w:val="left" w:pos="0"/>
              </w:tabs>
              <w:suppressAutoHyphens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 г пасти </w:t>
            </w:r>
          </w:p>
          <w:p w:rsidR="00752A03" w:rsidRPr="0025397C" w:rsidRDefault="00752A03" w:rsidP="00707BFA">
            <w:pPr>
              <w:tabs>
                <w:tab w:val="left" w:pos="0"/>
              </w:tabs>
              <w:suppressAutoHyphens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канюлі</w:t>
            </w:r>
            <w:proofErr w:type="spellEnd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52A03" w:rsidRPr="00FE4AA4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lastRenderedPageBreak/>
              <w:t>4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widowControl w:val="0"/>
              <w:spacing w:after="60"/>
              <w:ind w:right="113" w:hanging="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Резодонт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Resodont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), цемент резорцин-формаліновий для пломбування каналів або еквівалент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33141810-1 Матеріали для пломбування зубів</w:t>
            </w:r>
          </w:p>
          <w:p w:rsidR="00752A03" w:rsidRPr="0025397C" w:rsidRDefault="00752A03" w:rsidP="00CA326E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36095 - Матеріал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пломбувальний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ендодонтичний</w:t>
            </w:r>
            <w:proofErr w:type="spellEnd"/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Резодонт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є резорцин-формаліновий матеріал, який має дезінфікуючі та антисептичні властивості.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.цемент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резорцин-формаліновий для пломбування каналів</w:t>
            </w:r>
          </w:p>
          <w:p w:rsidR="00912AD4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Форми випуску:</w:t>
            </w:r>
          </w:p>
          <w:p w:rsidR="00752A03" w:rsidRPr="00912AD4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40 г порошку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Resodont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в банці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12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мл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рідини №1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12 </w:t>
            </w: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мл</w:t>
            </w:r>
            <w:proofErr w:type="spellEnd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рідини №2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мірник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блокнот для замішування</w:t>
            </w:r>
          </w:p>
        </w:tc>
      </w:tr>
      <w:tr w:rsidR="00752A03" w:rsidRPr="0025397C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widowControl w:val="0"/>
              <w:spacing w:after="60"/>
              <w:ind w:right="113" w:hanging="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KavitanPlus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Кавітан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плюс) або еквівалент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11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33141810-1 Матеріали для пломбування зубів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16704 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-Стоматологічний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склойономірний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цемент</w:t>
            </w:r>
          </w:p>
          <w:p w:rsidR="00752A03" w:rsidRPr="0025397C" w:rsidRDefault="00912AD4" w:rsidP="00CA326E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Р</w:t>
            </w:r>
            <w:r w:rsidR="00752A03"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ентгеноконтрастний</w:t>
            </w:r>
            <w:proofErr w:type="spellEnd"/>
            <w:r w:rsidR="00752A03"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752A03"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стеклоіономерний</w:t>
            </w:r>
            <w:proofErr w:type="spellEnd"/>
            <w:r w:rsidR="00752A03"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цемент хімічного затвердіння для підкладок і пломб з хімічною адгезією до твердих тканин зубів і здатністю виділять іони фтору. Матеріал виготовляється у п'яти основних відтінках та володіє хорошими естетичними властивостями, високою міцністю і низькою розчинністю цементу після його затвердіння. </w:t>
            </w:r>
          </w:p>
          <w:p w:rsidR="00752A03" w:rsidRPr="0025397C" w:rsidRDefault="00752A03" w:rsidP="00CA326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Показання:</w:t>
            </w:r>
          </w:p>
          <w:p w:rsidR="00752A03" w:rsidRPr="0025397C" w:rsidRDefault="00752A03" w:rsidP="0025397C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пломби в постійних зубах з V і III класів; </w:t>
            </w:r>
          </w:p>
          <w:p w:rsidR="00752A03" w:rsidRPr="0025397C" w:rsidRDefault="00752A03" w:rsidP="0025397C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пломби з V, III і I класів у постійних зубах – так званий </w:t>
            </w: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сендвіч-метод</w:t>
            </w:r>
            <w:proofErr w:type="spellEnd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752A03" w:rsidRPr="0025397C" w:rsidRDefault="00752A03" w:rsidP="0025397C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пломби з I, II, III і V класів у тимчасових зубах; </w:t>
            </w:r>
          </w:p>
          <w:p w:rsidR="00752A03" w:rsidRPr="0025397C" w:rsidRDefault="00752A03" w:rsidP="0025397C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адгезивні</w:t>
            </w:r>
            <w:proofErr w:type="spellEnd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підкладки під композитні та амальгамові пломби; </w:t>
            </w:r>
          </w:p>
          <w:p w:rsidR="00752A03" w:rsidRPr="0025397C" w:rsidRDefault="00752A03" w:rsidP="0025397C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відновлення втраченого дентину перед препаруванням зуба під штучну коронку, вкладок </w:t>
            </w: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інлей</w:t>
            </w:r>
            <w:proofErr w:type="spellEnd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онлей</w:t>
            </w:r>
            <w:proofErr w:type="spellEnd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естетичних фасеток; </w:t>
            </w:r>
          </w:p>
          <w:p w:rsidR="00752A03" w:rsidRPr="0025397C" w:rsidRDefault="00752A03" w:rsidP="0025397C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тимчасові пломби в постійних зубах. 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Комплектація:</w:t>
            </w:r>
          </w:p>
          <w:p w:rsidR="00752A03" w:rsidRPr="0025397C" w:rsidRDefault="00752A03" w:rsidP="0025397C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порошок 20 г </w:t>
            </w:r>
          </w:p>
          <w:p w:rsidR="00752A03" w:rsidRPr="0025397C" w:rsidRDefault="00752A03" w:rsidP="0025397C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рідина 15 </w:t>
            </w: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мл</w:t>
            </w:r>
            <w:proofErr w:type="spellEnd"/>
          </w:p>
        </w:tc>
      </w:tr>
      <w:tr w:rsidR="00752A03" w:rsidRPr="00FE4AA4" w:rsidTr="00E96DCD">
        <w:trPr>
          <w:trHeight w:val="2122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lastRenderedPageBreak/>
              <w:t>6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widowControl w:val="0"/>
              <w:spacing w:after="60"/>
              <w:ind w:right="113" w:hanging="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Кетак-моляр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Ізімікс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або еквівалент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33141830-7 </w:t>
            </w: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Пломбувальний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цемент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16704 </w:t>
            </w: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-Стоматологічний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склойономірний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цемент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Склоіономерний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пломбувальний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матеріал (порошок не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менше–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12,5г;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рідинане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менше – 8,5г)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.Ketac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™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MolarEasymix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Кетак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Моляр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Ізімікс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) –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пакуємий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склоіономерний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цемент для реставрації жувальних зубів</w:t>
            </w:r>
          </w:p>
        </w:tc>
      </w:tr>
      <w:tr w:rsidR="00752A03" w:rsidRPr="0025397C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7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widowControl w:val="0"/>
              <w:spacing w:after="60"/>
              <w:ind w:right="113" w:hanging="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  <w:lang w:val="uk-UA"/>
              </w:rPr>
              <w:t>Citofil-Ca (</w:t>
            </w:r>
            <w:proofErr w:type="spellStart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  <w:lang w:val="uk-UA"/>
              </w:rPr>
              <w:t>Цітофіл</w:t>
            </w:r>
            <w:proofErr w:type="spellEnd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  <w:lang w:val="uk-UA"/>
              </w:rPr>
              <w:t xml:space="preserve"> кальцій) або еквівалент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33141810-1 Матеріали для пломбування зубів</w:t>
            </w:r>
          </w:p>
          <w:p w:rsidR="00752A03" w:rsidRPr="0025397C" w:rsidRDefault="00752A03" w:rsidP="00CA326E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36095  - Матеріал </w:t>
            </w: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пломбувальний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ендодонтичний</w:t>
            </w:r>
            <w:proofErr w:type="spellEnd"/>
          </w:p>
          <w:p w:rsidR="00752A03" w:rsidRPr="0025397C" w:rsidRDefault="00752A03" w:rsidP="00CA32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Матеріал </w:t>
            </w: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пломбувальний</w:t>
            </w:r>
            <w:proofErr w:type="spellEnd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ендодонтичний</w:t>
            </w:r>
            <w:proofErr w:type="spellEnd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оксидкальцієвий</w:t>
            </w:r>
            <w:proofErr w:type="spellEnd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подвійного твердіння. Призначений до застосування в терапевтичній стоматології для постійного пломбування каналів всіх груп зубів методом однієї пасти при лікуванні запальних процесів в </w:t>
            </w:r>
            <w:proofErr w:type="spellStart"/>
            <w:r w:rsidRPr="0025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періодонті</w:t>
            </w:r>
            <w:proofErr w:type="spellEnd"/>
          </w:p>
          <w:p w:rsidR="00752A03" w:rsidRPr="0025397C" w:rsidRDefault="00752A03" w:rsidP="00CA3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Форми випуску:</w:t>
            </w:r>
          </w:p>
          <w:p w:rsidR="00752A03" w:rsidRPr="0025397C" w:rsidRDefault="00752A03" w:rsidP="00CA3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3 г основної пасти </w:t>
            </w:r>
          </w:p>
          <w:p w:rsidR="00752A03" w:rsidRPr="0025397C" w:rsidRDefault="00752A03" w:rsidP="00CA3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3 г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каталізаторної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пасти 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блокнот для замішування</w:t>
            </w:r>
          </w:p>
        </w:tc>
      </w:tr>
      <w:tr w:rsidR="00752A03" w:rsidRPr="0025397C" w:rsidTr="00E96DCD">
        <w:trPr>
          <w:trHeight w:val="3393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widowControl w:val="0"/>
              <w:spacing w:after="60"/>
              <w:ind w:right="113" w:hanging="2"/>
              <w:jc w:val="both"/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  <w:lang w:val="uk-UA"/>
              </w:rPr>
              <w:t xml:space="preserve">Засіб для </w:t>
            </w:r>
            <w:proofErr w:type="spellStart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  <w:lang w:val="uk-UA"/>
              </w:rPr>
              <w:t>розпломбування</w:t>
            </w:r>
            <w:proofErr w:type="spellEnd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  <w:lang w:val="uk-UA"/>
              </w:rPr>
              <w:t xml:space="preserve"> кореневих каналів </w:t>
            </w:r>
            <w:proofErr w:type="spellStart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  <w:lang w:val="uk-UA"/>
              </w:rPr>
              <w:t>Дімесол</w:t>
            </w:r>
            <w:proofErr w:type="spellEnd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  <w:lang w:val="uk-UA"/>
              </w:rPr>
              <w:t>Dimesol</w:t>
            </w:r>
            <w:proofErr w:type="spellEnd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  <w:lang w:val="uk-UA"/>
              </w:rPr>
              <w:t>) або еквівалент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33141800-8 Стоматологічні матеріали 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45234</w:t>
            </w:r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Розчин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видалення</w:t>
            </w:r>
            <w:proofErr w:type="spellEnd"/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Пломбувального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матеріалу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кореневих</w:t>
            </w:r>
            <w:proofErr w:type="spellEnd"/>
          </w:p>
          <w:p w:rsidR="00752A03" w:rsidRPr="0025397C" w:rsidRDefault="0025397C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ідинна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речовина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, яка в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ендодонтичних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процедурах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розм'якшує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усуває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пломбувальний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кореневих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каналів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Уведений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виріб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одноразового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розчинні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тетрахлоретилен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формамід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евкаліптол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допоміжні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52A03" w:rsidRPr="0025397C" w:rsidRDefault="00752A03" w:rsidP="00822BD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випуску:</w:t>
            </w:r>
            <w:r w:rsidRPr="0025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10гр.</w:t>
            </w:r>
          </w:p>
        </w:tc>
      </w:tr>
      <w:tr w:rsidR="00752A03" w:rsidRPr="0025397C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9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widowControl w:val="0"/>
              <w:spacing w:after="60"/>
              <w:ind w:right="113" w:hanging="2"/>
              <w:jc w:val="both"/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</w:pPr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Дентин-паста (</w:t>
            </w:r>
            <w:proofErr w:type="spellStart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біла</w:t>
            </w:r>
            <w:proofErr w:type="spellEnd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 xml:space="preserve">), 30г в </w:t>
            </w:r>
            <w:proofErr w:type="spellStart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скляній</w:t>
            </w:r>
            <w:proofErr w:type="spellEnd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баночці</w:t>
            </w:r>
            <w:proofErr w:type="spellEnd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має</w:t>
            </w:r>
            <w:proofErr w:type="spellEnd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високу</w:t>
            </w:r>
            <w:proofErr w:type="spellEnd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адгезію</w:t>
            </w:r>
            <w:proofErr w:type="spellEnd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м</w:t>
            </w:r>
            <w:proofErr w:type="gramEnd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>інімальну</w:t>
            </w:r>
            <w:proofErr w:type="spellEnd"/>
            <w:r w:rsidRPr="0025397C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</w:rPr>
              <w:t xml:space="preserve"> усадку.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shd w:val="clear" w:color="auto" w:fill="FFFFFF" w:themeFill="background1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11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33141800-8 Стоматологічні матеріали </w:t>
            </w:r>
          </w:p>
          <w:p w:rsidR="00752A03" w:rsidRPr="0025397C" w:rsidRDefault="00752A03" w:rsidP="0025397C">
            <w:pPr>
              <w:pStyle w:val="TableContents"/>
              <w:rPr>
                <w:rFonts w:cs="Times New Roman"/>
                <w:b/>
                <w:kern w:val="0"/>
                <w:lang w:eastAsia="en-US" w:bidi="ar-SA"/>
              </w:rPr>
            </w:pPr>
            <w:r w:rsidRPr="0025397C">
              <w:rPr>
                <w:rFonts w:cs="Times New Roman"/>
                <w:b/>
                <w:lang w:eastAsia="en-US"/>
              </w:rPr>
              <w:t>38778 - Тимчасовий матеріал для наповнення зубів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Тимчасова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дентин-паста </w:t>
            </w:r>
            <w:proofErr w:type="gram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цинк-оксиду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евгенолу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. Не </w:t>
            </w:r>
            <w:proofErr w:type="spellStart"/>
            <w:proofErr w:type="gram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подразнює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пульпу та ясна</w:t>
            </w:r>
            <w:proofErr w:type="gram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Хороша</w:t>
            </w:r>
            <w:proofErr w:type="gram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адгезіянавіть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вологого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дентину. Легко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моделюється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пластична</w:t>
            </w:r>
            <w:proofErr w:type="gram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, добре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прилягає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на краях,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видаляєтьсясуцільно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>некришиться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  <w:proofErr w:type="spellEnd"/>
            <w:proofErr w:type="gram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флакон 30г</w:t>
            </w:r>
          </w:p>
        </w:tc>
      </w:tr>
      <w:tr w:rsidR="00752A03" w:rsidRPr="0025397C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F530FD" w:rsidRPr="00F530FD" w:rsidRDefault="00F530FD" w:rsidP="00F530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F53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Competenceuniversalнабiр</w:t>
            </w:r>
            <w:proofErr w:type="spellEnd"/>
            <w:r w:rsidRPr="00F53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4*4.5г+5мл.бонд</w:t>
            </w:r>
          </w:p>
          <w:p w:rsidR="00752A03" w:rsidRPr="0025397C" w:rsidRDefault="00F530FD" w:rsidP="00F530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F53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набір</w:t>
            </w:r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F530FD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33141810-1 Матеріали для пломбування зубів 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35870</w:t>
            </w:r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Дентальна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композитна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смола</w:t>
            </w:r>
          </w:p>
          <w:p w:rsidR="00752A03" w:rsidRPr="0025397C" w:rsidRDefault="00752A03" w:rsidP="00F530FD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Рентгеноконтрастний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світлотверднучий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реставраційний матеріал для пломбування порожнин I-V класів по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Блеку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, набір з </w:t>
            </w:r>
            <w:r w:rsidR="00F53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шприців по 4</w:t>
            </w:r>
            <w:r w:rsidR="00F53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,5 </w:t>
            </w: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г.</w:t>
            </w:r>
          </w:p>
        </w:tc>
      </w:tr>
      <w:tr w:rsidR="00752A03" w:rsidRPr="0025397C" w:rsidTr="00E96DCD">
        <w:trPr>
          <w:trHeight w:val="684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11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Філтек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Z250 (набір) або </w:t>
            </w:r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еквівалент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lastRenderedPageBreak/>
              <w:t>набір</w:t>
            </w:r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33141810-1 Матеріали для пломбування зубів 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35870</w:t>
            </w:r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Дентальна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композитна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смола</w:t>
            </w:r>
          </w:p>
          <w:p w:rsidR="00752A03" w:rsidRPr="0025397C" w:rsidRDefault="00752A03" w:rsidP="0025397C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 xml:space="preserve">8 шприців (по 4г): A1, А2, А3, А3,5, В3, С2, D3, UD; 1 флакон з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адгезивом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(</w:t>
            </w:r>
            <w:r w:rsid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не менше </w:t>
            </w: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6мл), 1 шприц (</w:t>
            </w:r>
            <w:r w:rsid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не менше </w:t>
            </w: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3мл) протруювальної гелю, 1 пробний набір дисків, аксесуари, шкала відтінків.</w:t>
            </w:r>
          </w:p>
        </w:tc>
      </w:tr>
      <w:tr w:rsidR="00752A03" w:rsidRPr="0025397C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lastRenderedPageBreak/>
              <w:t>12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Штифти </w:t>
            </w:r>
            <w:proofErr w:type="spellStart"/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Сімеда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S1 (10шт/</w:t>
            </w:r>
            <w:proofErr w:type="spellStart"/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  <w:r w:rsidR="00302F73"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або еквівалент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25397C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упаковка</w:t>
            </w:r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33141800-8 Стоматологічні матеріали 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38609</w:t>
            </w:r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Штифт для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пломбування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корневого</w:t>
            </w:r>
            <w:proofErr w:type="gram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каналу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стандартний</w:t>
            </w:r>
            <w:proofErr w:type="spellEnd"/>
          </w:p>
          <w:p w:rsidR="00752A03" w:rsidRPr="0025397C" w:rsidRDefault="00752A03" w:rsidP="00302F7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Штифти анкерні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внутрішньоканальні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титанові. В упаковці  10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</w:tr>
      <w:tr w:rsidR="00752A03" w:rsidRPr="0025397C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13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Штифти </w:t>
            </w:r>
            <w:proofErr w:type="spellStart"/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Сімеда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М1 (10шт/</w:t>
            </w:r>
            <w:proofErr w:type="spellStart"/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  <w:r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  <w:r w:rsidR="00302F73"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або еквівалент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25397C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упаковка</w:t>
            </w:r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33141800-8 Стоматологічні матеріали 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38609</w:t>
            </w:r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Штифт для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пломбування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корневого</w:t>
            </w:r>
            <w:proofErr w:type="gram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каналу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стандартний</w:t>
            </w:r>
            <w:proofErr w:type="spellEnd"/>
          </w:p>
          <w:p w:rsidR="00752A03" w:rsidRPr="0025397C" w:rsidRDefault="00752A03" w:rsidP="00302F7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Штифти анкерні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внутрішньоканальні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титанові. В упаковці  10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</w:tr>
      <w:tr w:rsidR="00752A03" w:rsidRPr="00731F58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14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Евікрол</w:t>
            </w:r>
            <w:proofErr w:type="spellEnd"/>
            <w:r w:rsidR="00302F73"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або еквівалент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упаковка</w:t>
            </w:r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12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33141810-1 Матеріали для пломбування зубів 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35876- Комплект стоматологічного матеріалу, композитний відновлювальний матеріал</w:t>
            </w:r>
          </w:p>
          <w:p w:rsidR="00302F73" w:rsidRPr="00BE6B1D" w:rsidRDefault="00302F73" w:rsidP="00302F73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E6B1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Призначення</w:t>
            </w:r>
            <w:proofErr w:type="spellEnd"/>
            <w:r w:rsidRPr="00BE6B1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  <w:p w:rsidR="00302F73" w:rsidRPr="00302F73" w:rsidRDefault="00302F73" w:rsidP="00302F7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пломбуваннякаріознихпорожнин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III, IV </w:t>
            </w:r>
            <w:proofErr w:type="spell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2F73" w:rsidRPr="00302F73" w:rsidRDefault="00302F73" w:rsidP="00302F7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пломбуваннядефектівтвердих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тканин </w:t>
            </w:r>
            <w:proofErr w:type="spell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некаріозноїетіології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2F73" w:rsidRPr="00302F73" w:rsidRDefault="00302F73" w:rsidP="00302F7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фіксація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шин;</w:t>
            </w:r>
          </w:p>
          <w:p w:rsidR="00302F73" w:rsidRPr="00302F73" w:rsidRDefault="00302F73" w:rsidP="00302F7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відновленнякукси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2F73" w:rsidRPr="00302F73" w:rsidRDefault="00302F73" w:rsidP="00302F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Комплектація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02F73" w:rsidRPr="00302F73" w:rsidRDefault="00302F73" w:rsidP="00302F7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(</w:t>
            </w:r>
            <w:proofErr w:type="spell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основнийвідтінок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№21) 40 г</w:t>
            </w:r>
          </w:p>
          <w:p w:rsidR="00302F73" w:rsidRPr="00302F73" w:rsidRDefault="00302F73" w:rsidP="00302F7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(</w:t>
            </w:r>
            <w:proofErr w:type="spell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додатковийвідтінок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№25, 27, 45) 3 </w:t>
            </w:r>
            <w:proofErr w:type="spell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г</w:t>
            </w:r>
          </w:p>
          <w:p w:rsidR="00302F73" w:rsidRPr="00302F73" w:rsidRDefault="00302F73" w:rsidP="00302F7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ідина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г</w:t>
            </w:r>
          </w:p>
          <w:p w:rsidR="00302F73" w:rsidRPr="00302F73" w:rsidRDefault="00302F73" w:rsidP="00302F7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ідина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кислотного </w:t>
            </w:r>
            <w:proofErr w:type="spell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протруюванняEvicrol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) 14 г</w:t>
            </w:r>
          </w:p>
          <w:p w:rsidR="00302F73" w:rsidRPr="00302F73" w:rsidRDefault="00302F73" w:rsidP="00302F7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Блокнот 1 </w:t>
            </w:r>
            <w:proofErr w:type="spellStart"/>
            <w:proofErr w:type="gram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02F73" w:rsidRPr="00302F73" w:rsidRDefault="00302F73" w:rsidP="00302F7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Мірні</w:t>
            </w:r>
            <w:proofErr w:type="spellEnd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ложки 2 </w:t>
            </w:r>
            <w:proofErr w:type="spellStart"/>
            <w:proofErr w:type="gramStart"/>
            <w:r w:rsidRPr="00302F7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52A03" w:rsidRPr="0025397C" w:rsidRDefault="00752A03" w:rsidP="00302F7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752A03" w:rsidRPr="0025397C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15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Super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Polis</w:t>
            </w:r>
            <w:proofErr w:type="spellEnd"/>
            <w:r w:rsidR="00860AF9" w:rsidRPr="0025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або еквівалент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тюбик</w:t>
            </w:r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33141800-8 Стоматологічні матеріали 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11168-</w:t>
            </w:r>
            <w:r w:rsidRPr="0025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Засіб для чищення зубів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олірувальна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паста на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основі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пемзи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дзеркально</w:t>
            </w:r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блиску</w:t>
            </w:r>
            <w:proofErr w:type="spellEnd"/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52A03" w:rsidRPr="0025397C" w:rsidRDefault="00752A03" w:rsidP="00860AF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Фасовка</w:t>
            </w:r>
            <w:proofErr w:type="spellEnd"/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Pr="00253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тюбик 50г</w:t>
            </w:r>
          </w:p>
        </w:tc>
      </w:tr>
      <w:tr w:rsidR="00752A03" w:rsidRPr="0025397C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16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860AF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Стоматологічні ватні валики №2 </w:t>
            </w:r>
          </w:p>
          <w:p w:rsidR="00752A03" w:rsidRPr="0025397C" w:rsidRDefault="00752A03" w:rsidP="00860AF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MEDICOM</w:t>
            </w:r>
            <w:r w:rsidRPr="002539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№2 або еквівалент)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упаковка</w:t>
            </w:r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ДК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021:2015:33141800-8 – Стоматологічні матеріали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НК 024:2023: 31815 Валик ватний стоматологічний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Призначення:Нестерильні валики стоматологічні з натуральної бавовни після попередньої стерилізації застосовуються в терапевтичних стоматологічних відділеннях для тампонади проток слинних залоз і формування зручної робочої області в зоні зуба, що препарується.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Валики стоматологічні ватяні  повинні мати гнучкість, легко розміщуватись та тримати  форму, не прилипати  до слизової оболонки, з </w:t>
            </w: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 xml:space="preserve">високим  поглинанням довгих волокон. Не повинні містити  хімічних домішок чи  ара </w:t>
            </w:r>
            <w:proofErr w:type="spellStart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пульпар</w:t>
            </w:r>
            <w:proofErr w:type="spellEnd"/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Матеріал: 100% бавовна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Розмір: d=10мм L=38мм</w:t>
            </w:r>
          </w:p>
          <w:p w:rsidR="00752A03" w:rsidRPr="0025397C" w:rsidRDefault="00752A03" w:rsidP="00860AF9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Комплектація:</w:t>
            </w:r>
            <w:r w:rsidRPr="00253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упаковка 1000 шт.</w:t>
            </w:r>
          </w:p>
        </w:tc>
      </w:tr>
      <w:tr w:rsidR="00752A03" w:rsidRPr="00E96DCD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lastRenderedPageBreak/>
              <w:t>17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752A03">
            <w:pPr>
              <w:numPr>
                <w:ilvl w:val="0"/>
                <w:numId w:val="5"/>
              </w:numPr>
              <w:spacing w:after="160" w:line="259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uk-UA"/>
              </w:rPr>
            </w:pPr>
            <w:r w:rsidRPr="0025397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uk-UA"/>
              </w:rPr>
              <w:t xml:space="preserve">Артикуляційний папір ВК 09 </w:t>
            </w:r>
            <w:proofErr w:type="spellStart"/>
            <w:r w:rsidRPr="0025397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uk-UA"/>
              </w:rPr>
              <w:t>cиній</w:t>
            </w:r>
            <w:proofErr w:type="spellEnd"/>
            <w:r w:rsidRPr="0025397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uk-UA"/>
              </w:rPr>
              <w:t xml:space="preserve">,  </w:t>
            </w:r>
            <w:proofErr w:type="spellStart"/>
            <w:r w:rsidRPr="0025397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uk-UA"/>
              </w:rPr>
              <w:t>двост</w:t>
            </w:r>
            <w:proofErr w:type="spellEnd"/>
            <w:r w:rsidRPr="0025397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uk-UA"/>
              </w:rPr>
              <w:t xml:space="preserve"> 40 мкм </w:t>
            </w:r>
          </w:p>
          <w:p w:rsidR="00752A03" w:rsidRPr="0025397C" w:rsidRDefault="00752A03" w:rsidP="00CA32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упаковка</w:t>
            </w:r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752A03" w:rsidRPr="0025397C" w:rsidRDefault="00752A03" w:rsidP="00CA326E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 w:rsidRPr="002539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ДК</w:t>
            </w:r>
            <w:proofErr w:type="spellEnd"/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021:2015:33141800-8 – Стоматологічні матеріали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16181-</w:t>
            </w:r>
            <w:r w:rsidRPr="002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Папір для визначення артикуляції зубів</w:t>
            </w:r>
          </w:p>
          <w:p w:rsidR="00752A03" w:rsidRPr="0025397C" w:rsidRDefault="00752A03" w:rsidP="00CA326E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Артикуляційний папір ВК 09 (БК 09) - дуже тонкий, міцний папір, з обох сторін покритий рідкою фарбою. Мала товщина цього паперу виключає отримання неправдивих або змазаних контактних пунктів і забезпечує точні, чіткі кольорові відбитки.</w:t>
            </w:r>
          </w:p>
          <w:p w:rsidR="00752A03" w:rsidRPr="0025397C" w:rsidRDefault="00752A03" w:rsidP="00860AF9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Комплектація: упаковка </w:t>
            </w:r>
            <w:r w:rsid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не менше </w:t>
            </w:r>
            <w:r w:rsidR="00860A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2</w:t>
            </w:r>
            <w:r w:rsidRPr="002539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00 шт.</w:t>
            </w:r>
          </w:p>
        </w:tc>
      </w:tr>
      <w:tr w:rsidR="00E96DCD" w:rsidRPr="00E96DCD" w:rsidTr="00E96DCD">
        <w:trPr>
          <w:trHeight w:val="429"/>
        </w:trPr>
        <w:tc>
          <w:tcPr>
            <w:tcW w:w="364" w:type="dxa"/>
            <w:tcMar>
              <w:left w:w="-2" w:type="dxa"/>
            </w:tcMar>
          </w:tcPr>
          <w:p w:rsidR="00E96DCD" w:rsidRDefault="00E96DCD" w:rsidP="00824766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18</w:t>
            </w:r>
          </w:p>
        </w:tc>
        <w:tc>
          <w:tcPr>
            <w:tcW w:w="3032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E96DCD" w:rsidRPr="000949D7" w:rsidRDefault="00E96DCD" w:rsidP="00E96DCD">
            <w:pPr>
              <w:numPr>
                <w:ilvl w:val="0"/>
                <w:numId w:val="5"/>
              </w:numPr>
              <w:spacing w:after="160" w:line="259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val="uk-UA" w:eastAsia="uk-UA"/>
              </w:rPr>
            </w:pPr>
            <w:r w:rsidRPr="000949D7">
              <w:rPr>
                <w:rFonts w:ascii="Times New Roman" w:eastAsia="Times New Roman" w:hAnsi="Times New Roman" w:cs="Times New Roman"/>
                <w:b/>
                <w:bCs/>
                <w:kern w:val="36"/>
                <w:lang w:val="uk-UA" w:eastAsia="uk-UA"/>
              </w:rPr>
              <w:t xml:space="preserve">Гель </w:t>
            </w:r>
            <w:proofErr w:type="spellStart"/>
            <w:r w:rsidRPr="000949D7">
              <w:rPr>
                <w:rFonts w:ascii="Times New Roman" w:eastAsia="Times New Roman" w:hAnsi="Times New Roman" w:cs="Times New Roman"/>
                <w:b/>
                <w:bCs/>
                <w:kern w:val="36"/>
                <w:lang w:val="uk-UA" w:eastAsia="uk-UA"/>
              </w:rPr>
              <w:t>труючий</w:t>
            </w:r>
            <w:proofErr w:type="spellEnd"/>
            <w:r w:rsidRPr="000949D7">
              <w:rPr>
                <w:rFonts w:ascii="Times New Roman" w:eastAsia="Times New Roman" w:hAnsi="Times New Roman" w:cs="Times New Roman"/>
                <w:b/>
                <w:bCs/>
                <w:kern w:val="36"/>
                <w:lang w:val="uk-UA" w:eastAsia="uk-UA"/>
              </w:rPr>
              <w:t xml:space="preserve"> 37% 8г</w:t>
            </w:r>
          </w:p>
        </w:tc>
        <w:tc>
          <w:tcPr>
            <w:tcW w:w="1164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E96DCD" w:rsidRPr="00CE275A" w:rsidRDefault="00E96DCD" w:rsidP="00824766">
            <w:pPr>
              <w:suppressLineNumbers/>
              <w:spacing w:after="283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1051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E96DCD" w:rsidRPr="00CE275A" w:rsidRDefault="00E96DCD" w:rsidP="00824766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5163" w:type="dxa"/>
            <w:tcBorders>
              <w:left w:val="single" w:sz="2" w:space="0" w:color="000000"/>
              <w:right w:val="single" w:sz="2" w:space="0" w:color="000000"/>
            </w:tcBorders>
          </w:tcPr>
          <w:p w:rsidR="00E96DCD" w:rsidRPr="00E96DCD" w:rsidRDefault="00E96DCD" w:rsidP="00824766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E96D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ДК</w:t>
            </w:r>
            <w:proofErr w:type="spellEnd"/>
            <w:r w:rsidRPr="00E96D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021:2015:33141800-8 – Стоматологічні матеріали</w:t>
            </w:r>
          </w:p>
          <w:p w:rsidR="00E96DCD" w:rsidRPr="00E96DCD" w:rsidRDefault="00E96DCD" w:rsidP="00824766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E96D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36153-Стоматологічний травильний розчин</w:t>
            </w:r>
          </w:p>
          <w:p w:rsidR="00E96DCD" w:rsidRPr="00E96DCD" w:rsidRDefault="00E96DCD" w:rsidP="00E96DCD">
            <w:pPr>
              <w:shd w:val="clear" w:color="auto" w:fill="FFFFFF"/>
              <w:spacing w:after="375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val="uk-UA"/>
              </w:rPr>
            </w:pPr>
            <w:r w:rsidRPr="00E96DCD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</w:rPr>
              <w:t xml:space="preserve">Гель </w:t>
            </w:r>
            <w:proofErr w:type="spellStart"/>
            <w:r w:rsidRPr="00E96DCD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</w:rPr>
              <w:t>травильний</w:t>
            </w:r>
            <w:proofErr w:type="spellEnd"/>
            <w:r w:rsidRPr="00E96DCD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</w:rPr>
              <w:t xml:space="preserve"> 37% для </w:t>
            </w:r>
            <w:proofErr w:type="spellStart"/>
            <w:r w:rsidRPr="00E96DCD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</w:rPr>
              <w:t>протруювання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6DCD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</w:rPr>
              <w:t>емалі</w:t>
            </w:r>
            <w:proofErr w:type="spellEnd"/>
            <w:r w:rsidRPr="00E96DCD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</w:rPr>
              <w:t xml:space="preserve"> та дентину перед </w:t>
            </w:r>
            <w:proofErr w:type="spellStart"/>
            <w:r w:rsidRPr="00E96DCD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</w:rPr>
              <w:t>пломбуванням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val="uk-UA"/>
              </w:rPr>
              <w:t xml:space="preserve"> </w:t>
            </w:r>
            <w:r w:rsidRPr="00E96DCD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</w:rPr>
              <w:t>зуба.</w:t>
            </w:r>
            <w:r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val="uk-UA"/>
              </w:rPr>
              <w:t xml:space="preserve"> </w:t>
            </w:r>
            <w:r w:rsidRPr="00E96DCD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</w:rPr>
              <w:t>Шприц 8г.</w:t>
            </w:r>
          </w:p>
        </w:tc>
      </w:tr>
    </w:tbl>
    <w:p w:rsidR="00256C8A" w:rsidRDefault="00256C8A" w:rsidP="002F54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proofErr w:type="spellStart"/>
      <w:r w:rsidRPr="00752A0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Медико-технічнівимоги</w:t>
      </w:r>
      <w:proofErr w:type="spellEnd"/>
      <w:r w:rsidRPr="00752A0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 до предмету закупівлі</w:t>
      </w:r>
    </w:p>
    <w:p w:rsidR="00CC2C69" w:rsidRPr="00FE4AA4" w:rsidRDefault="00CC2C69" w:rsidP="00CC2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E4A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1.</w:t>
      </w:r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  Якщо Учасник пропонує інший товар (аналог або еквівалент) ніж передбачений цією документацією, якість запропонованого товару має відповідати/бути не гіршою якості, що заявлена у технічній специфікації Замовника, за усіма показниками. </w:t>
      </w:r>
      <w:proofErr w:type="spellStart"/>
      <w:proofErr w:type="gram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Еквівалентом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виробів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медичного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призначення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є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вироби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медичного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призначення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розміри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комплектація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матеріали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градація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та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інші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стандартні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характеристики товару абсолютно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співпадають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характеристиками товару,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що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є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предметом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закупівлі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Стандартні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характеристики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еквіваленту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товару на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який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відбувається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заміна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повинні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відповідати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вимогам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діючих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стандартів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щодо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даних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товарів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Запропонований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товар повинен</w:t>
      </w:r>
      <w:proofErr w:type="gram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відповідати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</w:t>
      </w:r>
      <w:proofErr w:type="gram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ім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вищенаведеним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вимогам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C2C69" w:rsidRPr="00FE4AA4" w:rsidRDefault="00CC2C69" w:rsidP="00CC2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    </w:t>
      </w:r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разі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якщо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пропозицією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учасника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передбачаються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еквівалентні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товари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 тих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товарів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що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є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предметом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закупі</w:t>
      </w:r>
      <w:proofErr w:type="gram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вл</w:t>
      </w:r>
      <w:proofErr w:type="gram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і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учаснику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складі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пропозиції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необхідно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додатково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надати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порівняльну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таблицю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на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еквівалентні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товари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обов’язковим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зазначенням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всіх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технічних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характеристик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запропонованого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еквіваленту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та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копію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заключного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звіту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про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проведення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дослідження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оцінки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еквівалентності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даних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виробів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медичного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призначення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та/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або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іншого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документу,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що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proofErr w:type="gram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ідтверджує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еквівалентність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запропонованих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товарів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та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відображає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їх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однакові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параметри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виданого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уповноваженою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установою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/закладом центрального органу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виконавчої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влади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що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реалізує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державну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політику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сфері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охорони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здоров’я</w:t>
      </w:r>
      <w:proofErr w:type="spellEnd"/>
      <w:r w:rsidRPr="00FE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56C8A" w:rsidRPr="00923E35" w:rsidRDefault="00CC2C69" w:rsidP="00CC2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256C8A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>.Товар, що</w:t>
      </w:r>
      <w:r w:rsidR="0025397C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56C8A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поставляється  повинен бути  цілим, без пошкоджень, в  упаковки ві</w:t>
      </w:r>
      <w:r w:rsidR="00D9162F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виробнака</w:t>
      </w:r>
      <w:proofErr w:type="spellEnd"/>
      <w:r w:rsidR="00256C8A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та її</w:t>
      </w:r>
      <w:r w:rsidR="00D9162F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56C8A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змісту, </w:t>
      </w:r>
      <w:r w:rsidR="00256C8A" w:rsidRPr="00923E35">
        <w:rPr>
          <w:rFonts w:ascii="Times New Roman" w:hAnsi="Times New Roman" w:cs="Times New Roman"/>
          <w:sz w:val="24"/>
          <w:szCs w:val="24"/>
          <w:lang w:val="uk-UA"/>
        </w:rPr>
        <w:t>Учасник повинен забезпечувати</w:t>
      </w:r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6C8A" w:rsidRPr="00923E35">
        <w:rPr>
          <w:rFonts w:ascii="Times New Roman" w:hAnsi="Times New Roman" w:cs="Times New Roman"/>
          <w:sz w:val="24"/>
          <w:szCs w:val="24"/>
          <w:lang w:val="uk-UA"/>
        </w:rPr>
        <w:t>належні</w:t>
      </w:r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6C8A" w:rsidRPr="00923E35">
        <w:rPr>
          <w:rFonts w:ascii="Times New Roman" w:hAnsi="Times New Roman" w:cs="Times New Roman"/>
          <w:sz w:val="24"/>
          <w:szCs w:val="24"/>
          <w:lang w:val="uk-UA"/>
        </w:rPr>
        <w:t>умови</w:t>
      </w:r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6C8A" w:rsidRPr="00923E35">
        <w:rPr>
          <w:rFonts w:ascii="Times New Roman" w:hAnsi="Times New Roman" w:cs="Times New Roman"/>
          <w:sz w:val="24"/>
          <w:szCs w:val="24"/>
          <w:lang w:val="uk-UA"/>
        </w:rPr>
        <w:t>зберігання та транспортування</w:t>
      </w:r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333C" w:rsidRPr="00923E35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256C8A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56C8A" w:rsidRPr="00923E35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Украї</w:t>
      </w:r>
      <w:proofErr w:type="gramStart"/>
      <w:r w:rsidR="00256C8A" w:rsidRPr="00923E3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56C8A" w:rsidRPr="00923E3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порядку. </w:t>
      </w:r>
    </w:p>
    <w:p w:rsidR="00256C8A" w:rsidRPr="00923E35" w:rsidRDefault="00CC2C69" w:rsidP="007A03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 xml:space="preserve">. Товар,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щопоставляється</w:t>
      </w:r>
      <w:proofErr w:type="spellEnd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="00D9162F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задовільний</w:t>
      </w:r>
      <w:proofErr w:type="spellEnd"/>
      <w:r w:rsidR="00D9162F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термін</w:t>
      </w:r>
      <w:proofErr w:type="spellEnd"/>
      <w:r w:rsidR="00D9162F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="00D9162F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56C8A" w:rsidRPr="00923E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(не </w:t>
      </w:r>
      <w:proofErr w:type="spellStart"/>
      <w:r w:rsidR="00256C8A" w:rsidRPr="00923E3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меншніж</w:t>
      </w:r>
      <w:proofErr w:type="spellEnd"/>
      <w:r w:rsidR="00256C8A" w:rsidRPr="00923E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80% </w:t>
      </w:r>
      <w:proofErr w:type="spellStart"/>
      <w:r w:rsidR="00256C8A" w:rsidRPr="00923E35">
        <w:rPr>
          <w:rFonts w:ascii="Times New Roman" w:hAnsi="Times New Roman" w:cs="Times New Roman"/>
          <w:b/>
          <w:i/>
          <w:color w:val="000000"/>
          <w:sz w:val="24"/>
          <w:szCs w:val="24"/>
        </w:rPr>
        <w:t>від</w:t>
      </w:r>
      <w:proofErr w:type="spellEnd"/>
      <w:r w:rsidR="00D9162F" w:rsidRPr="00923E35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загального</w:t>
      </w:r>
      <w:proofErr w:type="spellEnd"/>
      <w:r w:rsidR="00D9162F" w:rsidRPr="00923E35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терміну</w:t>
      </w:r>
      <w:proofErr w:type="spellEnd"/>
      <w:r w:rsidR="00D9162F" w:rsidRPr="00923E35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придатності</w:t>
      </w:r>
      <w:proofErr w:type="spellEnd"/>
      <w:r w:rsidR="00256C8A" w:rsidRPr="00923E35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неякісним</w:t>
      </w:r>
      <w:proofErr w:type="spellEnd"/>
      <w:r w:rsidR="00D9162F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D9162F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пошкодженим</w:t>
      </w:r>
      <w:proofErr w:type="spellEnd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, то</w:t>
      </w:r>
      <w:r w:rsidR="00D9162F"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7</w:t>
      </w:r>
      <w:r w:rsidR="006109BB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</w:t>
      </w:r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>.</w:t>
      </w:r>
    </w:p>
    <w:p w:rsidR="00256C8A" w:rsidRPr="00923E35" w:rsidRDefault="00CC2C69" w:rsidP="007A03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35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 xml:space="preserve">. Товар  </w:t>
      </w:r>
      <w:proofErr w:type="spellStart"/>
      <w:proofErr w:type="gram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поставляється</w:t>
      </w:r>
      <w:proofErr w:type="spellEnd"/>
      <w:proofErr w:type="gramEnd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 xml:space="preserve">  за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 xml:space="preserve"> та в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перелікузгідно</w:t>
      </w:r>
      <w:proofErr w:type="spellEnd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 xml:space="preserve"> заявок, на адресу </w:t>
      </w:r>
      <w:proofErr w:type="spell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r w:rsidR="00256C8A" w:rsidRPr="00923E35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256C8A" w:rsidRPr="00923E3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56C8A" w:rsidRPr="00923E35">
        <w:rPr>
          <w:rFonts w:ascii="Times New Roman" w:hAnsi="Times New Roman" w:cs="Times New Roman"/>
          <w:b/>
          <w:sz w:val="24"/>
          <w:szCs w:val="24"/>
        </w:rPr>
        <w:t>Нова</w:t>
      </w:r>
      <w:proofErr w:type="gramEnd"/>
      <w:r w:rsidR="00256C8A" w:rsidRPr="00923E35">
        <w:rPr>
          <w:rFonts w:ascii="Times New Roman" w:hAnsi="Times New Roman" w:cs="Times New Roman"/>
          <w:b/>
          <w:sz w:val="24"/>
          <w:szCs w:val="24"/>
        </w:rPr>
        <w:t xml:space="preserve"> Одеса, </w:t>
      </w:r>
      <w:proofErr w:type="spellStart"/>
      <w:r w:rsidR="00256C8A" w:rsidRPr="00923E35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="00256C8A" w:rsidRPr="00923E3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56C8A" w:rsidRPr="00923E35">
        <w:rPr>
          <w:rFonts w:ascii="Times New Roman" w:hAnsi="Times New Roman" w:cs="Times New Roman"/>
          <w:b/>
          <w:sz w:val="24"/>
          <w:szCs w:val="24"/>
        </w:rPr>
        <w:t>Шкільна</w:t>
      </w:r>
      <w:proofErr w:type="spellEnd"/>
      <w:r w:rsidR="00256C8A" w:rsidRPr="00923E35">
        <w:rPr>
          <w:rFonts w:ascii="Times New Roman" w:hAnsi="Times New Roman" w:cs="Times New Roman"/>
          <w:b/>
          <w:sz w:val="24"/>
          <w:szCs w:val="24"/>
        </w:rPr>
        <w:t xml:space="preserve">, 38, </w:t>
      </w:r>
      <w:proofErr w:type="spellStart"/>
      <w:r w:rsidR="00256C8A" w:rsidRPr="00923E35">
        <w:rPr>
          <w:rFonts w:ascii="Times New Roman" w:hAnsi="Times New Roman" w:cs="Times New Roman"/>
          <w:b/>
          <w:sz w:val="24"/>
          <w:szCs w:val="24"/>
        </w:rPr>
        <w:t>Миколаївськоїобласті</w:t>
      </w:r>
      <w:proofErr w:type="spellEnd"/>
      <w:r w:rsidR="00256C8A" w:rsidRPr="00923E35">
        <w:rPr>
          <w:rFonts w:ascii="Times New Roman" w:hAnsi="Times New Roman" w:cs="Times New Roman"/>
          <w:b/>
          <w:sz w:val="24"/>
          <w:szCs w:val="24"/>
        </w:rPr>
        <w:t>, 56600.</w:t>
      </w:r>
      <w:r w:rsidR="00D9162F" w:rsidRPr="00923E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256C8A" w:rsidRPr="00923E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моменту заявки товар повинен бути доставлений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семи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дострокової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ургентної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поставки. Поставка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цілодобово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56C8A" w:rsidRPr="00923E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56C8A" w:rsidRPr="00923E35">
        <w:rPr>
          <w:rFonts w:ascii="Times New Roman" w:hAnsi="Times New Roman" w:cs="Times New Roman"/>
          <w:sz w:val="24"/>
          <w:szCs w:val="24"/>
        </w:rPr>
        <w:t>ожна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lastRenderedPageBreak/>
        <w:t>партія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супроводжуватися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документами: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видатковою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накладною та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рахунком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сертифікатом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кожнупозицію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декларацією</w:t>
      </w:r>
      <w:proofErr w:type="spellEnd"/>
      <w:r w:rsidR="00D9162F" w:rsidRPr="0092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8A" w:rsidRPr="00923E3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256C8A" w:rsidRPr="00923E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6C8A" w:rsidRPr="00923E35" w:rsidRDefault="00CC2C69" w:rsidP="008C32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</w:pPr>
      <w:r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6</w:t>
      </w:r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Учасник</w:t>
      </w:r>
      <w:proofErr w:type="spell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при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поставці</w:t>
      </w:r>
      <w:proofErr w:type="spell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товару 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передбачає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необхідні</w:t>
      </w:r>
      <w:proofErr w:type="spell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заходи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із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захисту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довкілля</w:t>
      </w:r>
      <w:proofErr w:type="spell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здійснює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діяльність</w:t>
      </w:r>
      <w:proofErr w:type="spell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</w:t>
      </w:r>
      <w:proofErr w:type="spell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додержанням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вимог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екологічної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безпеки</w:t>
      </w:r>
      <w:proofErr w:type="spell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 правил,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нормативів</w:t>
      </w:r>
      <w:proofErr w:type="spell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стандартів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що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регулюють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діяльність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учасника</w:t>
      </w:r>
      <w:proofErr w:type="spell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сфері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охорони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довкілля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від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забруднення</w:t>
      </w:r>
      <w:proofErr w:type="spell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та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інших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шкідливих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впливів</w:t>
      </w:r>
      <w:proofErr w:type="spell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;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використовує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сертифі</w:t>
      </w:r>
      <w:proofErr w:type="gram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кован</w:t>
      </w:r>
      <w:proofErr w:type="gram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і</w:t>
      </w:r>
      <w:proofErr w:type="spellEnd"/>
      <w:r w:rsidR="00D9162F" w:rsidRPr="00923E3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матеріали</w:t>
      </w:r>
      <w:proofErr w:type="spell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; </w:t>
      </w:r>
      <w:proofErr w:type="spellStart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дотримується</w:t>
      </w:r>
      <w:proofErr w:type="spellEnd"/>
      <w:r w:rsidR="00256C8A" w:rsidRPr="0092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правил та </w:t>
      </w:r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умов </w:t>
      </w:r>
      <w:proofErr w:type="spell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зберігання</w:t>
      </w:r>
      <w:proofErr w:type="spellEnd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 </w:t>
      </w:r>
      <w:proofErr w:type="spell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виробництва</w:t>
      </w:r>
      <w:proofErr w:type="spellEnd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транспортування</w:t>
      </w:r>
      <w:proofErr w:type="spellEnd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  <w:r w:rsidR="00D9162F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Надає</w:t>
      </w:r>
      <w:proofErr w:type="spellEnd"/>
      <w:r w:rsidR="00D9162F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довідку</w:t>
      </w:r>
      <w:proofErr w:type="spellEnd"/>
      <w:r w:rsidR="00D9162F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</w:t>
      </w:r>
      <w:proofErr w:type="gram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про</w:t>
      </w:r>
      <w:proofErr w:type="gramEnd"/>
      <w:r w:rsidR="00D9162F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відповідність</w:t>
      </w:r>
      <w:proofErr w:type="spellEnd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медико-технічнимвимогам</w:t>
      </w:r>
      <w:proofErr w:type="spellEnd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за </w:t>
      </w:r>
      <w:proofErr w:type="spell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кожним</w:t>
      </w:r>
      <w:proofErr w:type="spellEnd"/>
      <w:r w:rsidR="00D9162F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найменуванням</w:t>
      </w:r>
      <w:proofErr w:type="spellEnd"/>
      <w:r w:rsidR="00D9162F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запропонованого</w:t>
      </w:r>
      <w:proofErr w:type="spellEnd"/>
      <w:r w:rsidR="00D9162F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</w:t>
      </w:r>
      <w:proofErr w:type="gram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товару</w:t>
      </w:r>
      <w:proofErr w:type="gramEnd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згідно</w:t>
      </w:r>
      <w:proofErr w:type="spellEnd"/>
      <w:r w:rsidR="00D9162F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запропонованої</w:t>
      </w:r>
      <w:proofErr w:type="spellEnd"/>
      <w:r w:rsidR="00D9162F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таблиці</w:t>
      </w:r>
      <w:proofErr w:type="spellEnd"/>
      <w:r w:rsidR="00256C8A" w:rsidRPr="00923E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256C8A" w:rsidRPr="00923E35" w:rsidRDefault="00256C8A" w:rsidP="008B333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01F2" w:rsidRPr="00923E35" w:rsidRDefault="00DD01F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1F2" w:rsidRPr="00923E35" w:rsidSect="00F875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03179"/>
    <w:multiLevelType w:val="hybridMultilevel"/>
    <w:tmpl w:val="AB2ADF22"/>
    <w:lvl w:ilvl="0" w:tplc="8A045D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D040C"/>
    <w:multiLevelType w:val="multilevel"/>
    <w:tmpl w:val="CCAA2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A4158"/>
    <w:multiLevelType w:val="multilevel"/>
    <w:tmpl w:val="62A8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101B8"/>
    <w:multiLevelType w:val="multilevel"/>
    <w:tmpl w:val="52666E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61EF56B5"/>
    <w:multiLevelType w:val="multilevel"/>
    <w:tmpl w:val="31F038A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71B801AD"/>
    <w:multiLevelType w:val="multilevel"/>
    <w:tmpl w:val="0590A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C8A"/>
    <w:rsid w:val="000519BB"/>
    <w:rsid w:val="000839F6"/>
    <w:rsid w:val="000E0553"/>
    <w:rsid w:val="0025397C"/>
    <w:rsid w:val="00256C8A"/>
    <w:rsid w:val="002E5F3D"/>
    <w:rsid w:val="002F5459"/>
    <w:rsid w:val="00302F73"/>
    <w:rsid w:val="00476309"/>
    <w:rsid w:val="005114E7"/>
    <w:rsid w:val="006109BB"/>
    <w:rsid w:val="00707BFA"/>
    <w:rsid w:val="00730F60"/>
    <w:rsid w:val="00731F58"/>
    <w:rsid w:val="00752A03"/>
    <w:rsid w:val="007A03A3"/>
    <w:rsid w:val="00822BD3"/>
    <w:rsid w:val="00860AF9"/>
    <w:rsid w:val="008B333C"/>
    <w:rsid w:val="008B4C45"/>
    <w:rsid w:val="008C32D1"/>
    <w:rsid w:val="00912AD4"/>
    <w:rsid w:val="00923E35"/>
    <w:rsid w:val="00965494"/>
    <w:rsid w:val="009C2441"/>
    <w:rsid w:val="00A83CFF"/>
    <w:rsid w:val="00AF7CAD"/>
    <w:rsid w:val="00C174CC"/>
    <w:rsid w:val="00C331A0"/>
    <w:rsid w:val="00C91EDC"/>
    <w:rsid w:val="00CA4D4E"/>
    <w:rsid w:val="00CC2C69"/>
    <w:rsid w:val="00D66B28"/>
    <w:rsid w:val="00D9162F"/>
    <w:rsid w:val="00DD01F2"/>
    <w:rsid w:val="00E96DCD"/>
    <w:rsid w:val="00F03DF1"/>
    <w:rsid w:val="00F530FD"/>
    <w:rsid w:val="00F83376"/>
    <w:rsid w:val="00FE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94"/>
  </w:style>
  <w:style w:type="paragraph" w:styleId="2">
    <w:name w:val="heading 2"/>
    <w:basedOn w:val="a"/>
    <w:next w:val="a"/>
    <w:link w:val="20"/>
    <w:uiPriority w:val="9"/>
    <w:unhideWhenUsed/>
    <w:qFormat/>
    <w:rsid w:val="00C91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9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C9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91EDC"/>
  </w:style>
  <w:style w:type="character" w:customStyle="1" w:styleId="3trjq">
    <w:name w:val="_3trjq"/>
    <w:basedOn w:val="a0"/>
    <w:rsid w:val="00C91EDC"/>
  </w:style>
  <w:style w:type="character" w:styleId="a5">
    <w:name w:val="Strong"/>
    <w:basedOn w:val="a0"/>
    <w:uiPriority w:val="22"/>
    <w:qFormat/>
    <w:rsid w:val="00C91EDC"/>
    <w:rPr>
      <w:b/>
      <w:bCs/>
    </w:rPr>
  </w:style>
  <w:style w:type="paragraph" w:styleId="a6">
    <w:name w:val="List Paragraph"/>
    <w:basedOn w:val="a"/>
    <w:uiPriority w:val="34"/>
    <w:qFormat/>
    <w:rsid w:val="00C91ED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91EDC"/>
    <w:rPr>
      <w:color w:val="0000FF"/>
      <w:u w:val="single"/>
    </w:rPr>
  </w:style>
  <w:style w:type="paragraph" w:customStyle="1" w:styleId="TableContents">
    <w:name w:val="Table Contents"/>
    <w:basedOn w:val="a"/>
    <w:rsid w:val="00752A0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7ED9-2B06-4800-9CF7-92C42B22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2023-10-05T07:05:00Z</dcterms:created>
  <dcterms:modified xsi:type="dcterms:W3CDTF">2024-04-19T08:15:00Z</dcterms:modified>
</cp:coreProperties>
</file>