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80" w:rsidRPr="005E27BA" w:rsidRDefault="00495380" w:rsidP="00495380">
      <w:pPr>
        <w:pageBreakBefore/>
        <w:ind w:left="6804"/>
        <w:outlineLvl w:val="0"/>
      </w:pPr>
      <w:r w:rsidRPr="00D96282">
        <w:rPr>
          <w:b/>
          <w:color w:val="000000"/>
        </w:rPr>
        <w:t>Додаток 3</w:t>
      </w:r>
      <w:r w:rsidRPr="00D96282">
        <w:rPr>
          <w:b/>
          <w:color w:val="000000"/>
        </w:rPr>
        <w:br/>
      </w:r>
      <w:r w:rsidRPr="005E27BA">
        <w:t>до тендерної документації</w:t>
      </w:r>
    </w:p>
    <w:p w:rsidR="00495380" w:rsidRDefault="00495380" w:rsidP="00495380">
      <w:pPr>
        <w:jc w:val="center"/>
        <w:rPr>
          <w:b/>
        </w:rPr>
      </w:pPr>
    </w:p>
    <w:p w:rsidR="00495380" w:rsidRDefault="00495380" w:rsidP="00495380">
      <w:pPr>
        <w:jc w:val="center"/>
        <w:rPr>
          <w:b/>
        </w:rPr>
      </w:pPr>
      <w:r>
        <w:rPr>
          <w:b/>
          <w:color w:val="000000"/>
        </w:rPr>
        <w:t xml:space="preserve">КВАЛІФІКАЦІЙНІ КРИТЕРІЇ ТА ДОКУМЕНТИ, ЯКІ ВИМАГАЮТЬСЯ </w:t>
      </w:r>
      <w:r>
        <w:rPr>
          <w:b/>
          <w:color w:val="000000"/>
        </w:rPr>
        <w:br/>
        <w:t>ДЛЯ ПІДТВЕРДЖЕННЯ ВІДПОВІДНОСТІ ПРОПОЗИЦІЇ УЧАСНИКА КВАЛІФІКАЦІЙНИМ КРИТЕРІЯМ ТА ІНШИМ ВИМОГАМ ЗАМОВНИКА</w:t>
      </w:r>
    </w:p>
    <w:p w:rsidR="00495380" w:rsidRPr="008A372A" w:rsidRDefault="00495380" w:rsidP="00495380">
      <w:pPr>
        <w:jc w:val="center"/>
        <w:rPr>
          <w:b/>
          <w:sz w:val="2"/>
        </w:rPr>
      </w:pPr>
    </w:p>
    <w:p w:rsidR="00495380" w:rsidRPr="00D73527" w:rsidRDefault="00495380" w:rsidP="00495380">
      <w:pPr>
        <w:keepNext/>
        <w:spacing w:after="120"/>
        <w:rPr>
          <w:b/>
          <w:bCs/>
          <w:lang w:val="ru-RU"/>
        </w:rPr>
      </w:pPr>
      <w:r w:rsidRPr="005E27BA">
        <w:rPr>
          <w:b/>
          <w:bCs/>
        </w:rPr>
        <w:t>Таблиця 1. Кваліфікаційні вимоги до учасників процедури закупівлі</w:t>
      </w:r>
    </w:p>
    <w:p w:rsidR="00495380" w:rsidRPr="00D73527" w:rsidRDefault="00495380" w:rsidP="00495380">
      <w:pPr>
        <w:keepNext/>
        <w:spacing w:after="120"/>
        <w:rPr>
          <w:b/>
          <w:bCs/>
          <w:lang w:val="ru-RU"/>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486"/>
      </w:tblGrid>
      <w:tr w:rsidR="00495380" w:rsidRPr="00C16A1B" w:rsidTr="00DB3C16">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495380" w:rsidRPr="00C16A1B" w:rsidRDefault="00495380" w:rsidP="00DB3C16">
            <w:pPr>
              <w:keepNext/>
              <w:jc w:val="center"/>
              <w:rPr>
                <w:b/>
              </w:rPr>
            </w:pPr>
            <w:r w:rsidRPr="00C16A1B">
              <w:rPr>
                <w:b/>
              </w:rPr>
              <w:t>Вимога</w:t>
            </w:r>
          </w:p>
        </w:tc>
        <w:tc>
          <w:tcPr>
            <w:tcW w:w="6486" w:type="dxa"/>
            <w:tcBorders>
              <w:top w:val="single" w:sz="4" w:space="0" w:color="auto"/>
              <w:left w:val="single" w:sz="4" w:space="0" w:color="auto"/>
              <w:bottom w:val="single" w:sz="4" w:space="0" w:color="auto"/>
              <w:right w:val="single" w:sz="4" w:space="0" w:color="auto"/>
            </w:tcBorders>
            <w:hideMark/>
          </w:tcPr>
          <w:p w:rsidR="00495380" w:rsidRPr="00086D40" w:rsidRDefault="00495380" w:rsidP="00DB3C16">
            <w:pPr>
              <w:keepNext/>
              <w:jc w:val="center"/>
              <w:rPr>
                <w:b/>
                <w:color w:val="FF0000"/>
              </w:rPr>
            </w:pPr>
            <w:r>
              <w:rPr>
                <w:b/>
                <w:color w:val="000000"/>
                <w:sz w:val="22"/>
                <w:szCs w:val="22"/>
              </w:rPr>
              <w:t xml:space="preserve">Документи та </w:t>
            </w:r>
            <w:r w:rsidRPr="00927196">
              <w:rPr>
                <w:b/>
                <w:color w:val="000000"/>
                <w:sz w:val="22"/>
                <w:szCs w:val="22"/>
              </w:rPr>
              <w:t>інформація</w:t>
            </w:r>
            <w:r>
              <w:rPr>
                <w:b/>
                <w:color w:val="000000"/>
                <w:sz w:val="22"/>
                <w:szCs w:val="22"/>
              </w:rPr>
              <w:t>, які підтверджують відповідність Учасника кваліфікаційним критеріям**</w:t>
            </w:r>
          </w:p>
        </w:tc>
      </w:tr>
      <w:tr w:rsidR="00495380" w:rsidRPr="00C16A1B" w:rsidTr="00DB3C16">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495380" w:rsidRPr="00AF2128" w:rsidRDefault="00495380" w:rsidP="00DB3C16">
            <w:pPr>
              <w:rPr>
                <w:color w:val="FF0000"/>
              </w:rPr>
            </w:pPr>
            <w:r>
              <w:t>1. Наявність засобів для забезпечення безперервної роботи.</w:t>
            </w:r>
          </w:p>
        </w:tc>
        <w:tc>
          <w:tcPr>
            <w:tcW w:w="6486" w:type="dxa"/>
            <w:tcBorders>
              <w:top w:val="single" w:sz="4" w:space="0" w:color="auto"/>
              <w:left w:val="single" w:sz="4" w:space="0" w:color="auto"/>
              <w:bottom w:val="single" w:sz="4" w:space="0" w:color="auto"/>
              <w:right w:val="single" w:sz="4" w:space="0" w:color="auto"/>
            </w:tcBorders>
          </w:tcPr>
          <w:p w:rsidR="00495380" w:rsidRPr="00AF2128" w:rsidRDefault="00495380" w:rsidP="00DB3C16">
            <w:pPr>
              <w:spacing w:after="120"/>
              <w:jc w:val="both"/>
              <w:rPr>
                <w:color w:val="FF0000"/>
              </w:rPr>
            </w:pPr>
            <w:r>
              <w:t xml:space="preserve">1.1. Довідка про відповідність вимогам до забезпечення безперервної роботи публічних електронних реєстрів, інформаційних та інформаційно-комунікаційних систем, доступності сервісів, що використовуються для надання адміністративних послуг та інформаційної взаємодії, згідно з п. 6 Рішення з окремих питань Витягу з Протоколу №168 засідання Кабінету Міністрів України від 30 грудня 2022 року  (за формою згідно з </w:t>
            </w:r>
            <w:r>
              <w:rPr>
                <w:b/>
              </w:rPr>
              <w:t>додатком 3.1</w:t>
            </w:r>
            <w:r>
              <w:t xml:space="preserve"> до тендерної документації).</w:t>
            </w:r>
          </w:p>
        </w:tc>
      </w:tr>
      <w:tr w:rsidR="00495380" w:rsidRPr="00C16A1B" w:rsidTr="00DB3C16">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495380" w:rsidRPr="00C16A1B" w:rsidRDefault="00495380" w:rsidP="00DB3C16">
            <w:r w:rsidRPr="00C16A1B">
              <w:t>2. Наявність працівників відповідної кваліфікації, які мають необхідні знання та досвід</w:t>
            </w:r>
          </w:p>
        </w:tc>
        <w:tc>
          <w:tcPr>
            <w:tcW w:w="6486" w:type="dxa"/>
            <w:tcBorders>
              <w:top w:val="single" w:sz="4" w:space="0" w:color="auto"/>
              <w:left w:val="single" w:sz="4" w:space="0" w:color="auto"/>
              <w:bottom w:val="single" w:sz="4" w:space="0" w:color="auto"/>
              <w:right w:val="single" w:sz="4" w:space="0" w:color="auto"/>
            </w:tcBorders>
          </w:tcPr>
          <w:p w:rsidR="00495380" w:rsidRDefault="00495380" w:rsidP="00DB3C16">
            <w:pPr>
              <w:pStyle w:val="3f3f3f3f3f-123f3f-3f3f3f"/>
              <w:tabs>
                <w:tab w:val="left" w:pos="1714"/>
              </w:tabs>
              <w:ind w:firstLine="0"/>
              <w:rPr>
                <w:rFonts w:ascii="Times New Roman" w:hAnsi="Times New Roman" w:cs="Times New Roman"/>
                <w:color w:val="auto"/>
                <w:lang w:val="uk-UA"/>
              </w:rPr>
            </w:pPr>
            <w:r>
              <w:rPr>
                <w:rFonts w:ascii="Times New Roman" w:hAnsi="Times New Roman" w:cs="Times New Roman"/>
                <w:color w:val="auto"/>
                <w:lang w:val="uk-UA"/>
              </w:rPr>
              <w:t>2.1.</w:t>
            </w:r>
            <w:r>
              <w:rPr>
                <w:rFonts w:ascii="Times New Roman" w:hAnsi="Times New Roman" w:cs="Times New Roman"/>
                <w:color w:val="auto"/>
              </w:rPr>
              <w:t> </w:t>
            </w:r>
            <w:r>
              <w:rPr>
                <w:rFonts w:ascii="Times New Roman" w:hAnsi="Times New Roman" w:cs="Times New Roman"/>
                <w:color w:val="auto"/>
                <w:lang w:val="uk-UA"/>
              </w:rPr>
              <w:t>Інформаційна довідка, у довільній формі, про наявність працівників відповідної кваліфікації, які мають необхідні знання та досвід для надання послуг, а також наявність сертифікованих штатних спеціалістів, які пройшли курс навчання з тематики «Побудова та технічна експлуатація ВОЛЗ» (підтверджується відповідними сертифікатами).</w:t>
            </w:r>
          </w:p>
          <w:p w:rsidR="00495380" w:rsidRPr="00286C98" w:rsidRDefault="00495380" w:rsidP="00DB3C16">
            <w:pPr>
              <w:spacing w:before="120" w:after="120"/>
              <w:ind w:left="34"/>
              <w:contextualSpacing/>
              <w:jc w:val="both"/>
            </w:pPr>
            <w:r>
              <w:t>2.2. Учасник повинен надати копії документів, що підтверджують трудові або цивільно-правові відносини з працівниками та копії відповідних сертифікатів.</w:t>
            </w:r>
          </w:p>
        </w:tc>
      </w:tr>
      <w:tr w:rsidR="00495380" w:rsidRPr="00C16A1B" w:rsidTr="00DB3C16">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495380" w:rsidRPr="00C16A1B" w:rsidRDefault="00495380" w:rsidP="00DB3C16">
            <w:r w:rsidRPr="00C16A1B">
              <w:t xml:space="preserve">3. Наявність документально підтвердженого досвіду виконання аналогічного </w:t>
            </w:r>
            <w:r w:rsidRPr="00C16A1B">
              <w:rPr>
                <w:color w:val="000000"/>
              </w:rPr>
              <w:t xml:space="preserve">(аналогічних) за предметом закупівлі </w:t>
            </w:r>
            <w:r w:rsidRPr="00C16A1B">
              <w:t xml:space="preserve">договору </w:t>
            </w:r>
            <w:r w:rsidRPr="00C16A1B">
              <w:rPr>
                <w:color w:val="000000"/>
              </w:rPr>
              <w:t>(договорів)</w:t>
            </w:r>
          </w:p>
        </w:tc>
        <w:tc>
          <w:tcPr>
            <w:tcW w:w="6486" w:type="dxa"/>
            <w:tcBorders>
              <w:top w:val="single" w:sz="4" w:space="0" w:color="auto"/>
              <w:left w:val="single" w:sz="4" w:space="0" w:color="auto"/>
              <w:bottom w:val="single" w:sz="4" w:space="0" w:color="auto"/>
              <w:right w:val="single" w:sz="4" w:space="0" w:color="auto"/>
            </w:tcBorders>
            <w:hideMark/>
          </w:tcPr>
          <w:p w:rsidR="00495380" w:rsidRDefault="00495380" w:rsidP="00DB3C16">
            <w:pPr>
              <w:spacing w:after="120"/>
              <w:jc w:val="both"/>
              <w:rPr>
                <w:color w:val="000000"/>
              </w:rPr>
            </w:pPr>
            <w:r>
              <w:rPr>
                <w:color w:val="000000"/>
              </w:rPr>
              <w:t>3.1. Довідка про наявність досвіду виконання аналогічного договору, який є предметом закупівлі</w:t>
            </w:r>
            <w:r>
              <w:rPr>
                <w:color w:val="000000"/>
                <w:lang w:val="ru-RU"/>
              </w:rPr>
              <w:t xml:space="preserve"> </w:t>
            </w:r>
            <w:r>
              <w:rPr>
                <w:color w:val="000000"/>
              </w:rPr>
              <w:t xml:space="preserve">(за формою згідно з </w:t>
            </w:r>
            <w:r>
              <w:rPr>
                <w:b/>
                <w:color w:val="000000"/>
              </w:rPr>
              <w:t>додатком 3.3</w:t>
            </w:r>
            <w:r>
              <w:rPr>
                <w:color w:val="000000"/>
              </w:rPr>
              <w:t xml:space="preserve"> до тендерної документації).</w:t>
            </w:r>
          </w:p>
          <w:p w:rsidR="00495380" w:rsidRPr="00352E99" w:rsidRDefault="00495380" w:rsidP="00DB3C16">
            <w:pPr>
              <w:spacing w:after="120"/>
              <w:jc w:val="both"/>
            </w:pPr>
            <w:r>
              <w:rPr>
                <w:b/>
                <w:i/>
                <w:color w:val="000000"/>
              </w:rPr>
              <w:t xml:space="preserve">Аналогічним вважається договір, предмет закупівлі якого визначений </w:t>
            </w:r>
            <w:r>
              <w:rPr>
                <w:color w:val="000000"/>
              </w:rPr>
              <w:t xml:space="preserve">згідно з пунктом 3 Порядку визначення предмету закупівлі, затвердженого наказом Мінекономіки від 15.04.2020 №  708 (набрав чинності 19.06.2020). Предмет закупівлі товарів визначається замовником згідно з пунктом 34 частини першої статті 1 Закону України «Про публічні1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а саме: </w:t>
            </w:r>
            <w:r w:rsidRPr="00352E99">
              <w:t>«Послуги телефонного зв’язку та передачі даних – за кодом ДК 021:2015 – 64210000-1 (Послуги телекомунікацій для забезпечення роботи каналів зв’язку Відомчої телекомунікаційної мережі Держмитслужби)».</w:t>
            </w:r>
          </w:p>
          <w:p w:rsidR="00495380" w:rsidRDefault="00495380" w:rsidP="00DB3C16">
            <w:pPr>
              <w:spacing w:after="120"/>
              <w:jc w:val="both"/>
              <w:rPr>
                <w:color w:val="000000"/>
              </w:rPr>
            </w:pPr>
            <w:r>
              <w:rPr>
                <w:color w:val="000000"/>
              </w:rPr>
              <w:t>3.2. На підтвердження інформації, вказаній у довідці (п. 3.1), учасник має надати копію (-ї) вказаного (-</w:t>
            </w:r>
            <w:proofErr w:type="spellStart"/>
            <w:r>
              <w:rPr>
                <w:color w:val="000000"/>
              </w:rPr>
              <w:t>их</w:t>
            </w:r>
            <w:proofErr w:type="spellEnd"/>
            <w:r>
              <w:rPr>
                <w:color w:val="000000"/>
              </w:rPr>
              <w:t>) договору (-</w:t>
            </w:r>
            <w:proofErr w:type="spellStart"/>
            <w:r>
              <w:rPr>
                <w:color w:val="000000"/>
              </w:rPr>
              <w:t>ів</w:t>
            </w:r>
            <w:proofErr w:type="spellEnd"/>
            <w:r>
              <w:rPr>
                <w:color w:val="000000"/>
              </w:rPr>
              <w:t>).</w:t>
            </w:r>
          </w:p>
          <w:p w:rsidR="00495380" w:rsidRDefault="00495380" w:rsidP="00DB3C16">
            <w:pPr>
              <w:jc w:val="both"/>
              <w:rPr>
                <w:lang w:eastAsia="uk-UA"/>
              </w:rPr>
            </w:pPr>
            <w:r>
              <w:t xml:space="preserve">- копію договору або копії усіх вказаних договорів; </w:t>
            </w:r>
          </w:p>
          <w:p w:rsidR="00495380" w:rsidRPr="00C16A1B" w:rsidRDefault="00495380" w:rsidP="00DB3C16">
            <w:pPr>
              <w:jc w:val="both"/>
            </w:pPr>
            <w:r>
              <w:t>- копії актів приймання-передачі або видаткових накладних.</w:t>
            </w:r>
          </w:p>
        </w:tc>
      </w:tr>
      <w:tr w:rsidR="00495380" w:rsidRPr="00C16A1B" w:rsidTr="00DB3C16">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495380" w:rsidRPr="00D96282" w:rsidRDefault="00495380" w:rsidP="00DB3C16">
            <w:pPr>
              <w:widowControl w:val="0"/>
              <w:rPr>
                <w:color w:val="000000"/>
                <w:lang w:eastAsia="uk-UA"/>
              </w:rPr>
            </w:pPr>
            <w:r w:rsidRPr="00D96282">
              <w:rPr>
                <w:color w:val="000000"/>
              </w:rPr>
              <w:t xml:space="preserve">4. </w:t>
            </w:r>
            <w:r w:rsidRPr="00D96282">
              <w:rPr>
                <w:color w:val="000000"/>
                <w:highlight w:val="white"/>
              </w:rPr>
              <w:t xml:space="preserve">Наявність фінансової спроможності, яка </w:t>
            </w:r>
            <w:r w:rsidRPr="00D96282">
              <w:rPr>
                <w:color w:val="000000"/>
                <w:highlight w:val="white"/>
              </w:rPr>
              <w:lastRenderedPageBreak/>
              <w:t>підтверджується фінансовою звітністю</w:t>
            </w:r>
          </w:p>
        </w:tc>
        <w:tc>
          <w:tcPr>
            <w:tcW w:w="6486" w:type="dxa"/>
            <w:tcBorders>
              <w:top w:val="single" w:sz="4" w:space="0" w:color="auto"/>
              <w:left w:val="single" w:sz="4" w:space="0" w:color="auto"/>
              <w:bottom w:val="single" w:sz="4" w:space="0" w:color="auto"/>
              <w:right w:val="single" w:sz="4" w:space="0" w:color="auto"/>
            </w:tcBorders>
          </w:tcPr>
          <w:p w:rsidR="00495380" w:rsidRPr="00D96282" w:rsidRDefault="00495380" w:rsidP="00DB3C16">
            <w:pPr>
              <w:widowControl w:val="0"/>
              <w:jc w:val="both"/>
              <w:rPr>
                <w:color w:val="000000"/>
              </w:rPr>
            </w:pPr>
            <w:r w:rsidRPr="00D96282">
              <w:rPr>
                <w:color w:val="000000"/>
              </w:rPr>
              <w:lastRenderedPageBreak/>
              <w:t xml:space="preserve">4.1. Учасник повинен надати копії балансу, звіту про фінансові результати та звіту про рух грошових коштів за </w:t>
            </w:r>
            <w:r w:rsidRPr="00D96282">
              <w:rPr>
                <w:color w:val="000000"/>
              </w:rPr>
              <w:lastRenderedPageBreak/>
              <w:t>останній звітний період з відмітками про прийняття відповідним державним органом або надати документ про передачу та прийняття електронної звітності.</w:t>
            </w:r>
          </w:p>
        </w:tc>
      </w:tr>
    </w:tbl>
    <w:p w:rsidR="00495380" w:rsidRDefault="00495380" w:rsidP="00495380">
      <w:pPr>
        <w:keepNext/>
        <w:spacing w:after="120"/>
        <w:rPr>
          <w:b/>
          <w:bCs/>
        </w:rPr>
      </w:pPr>
    </w:p>
    <w:p w:rsidR="00495380" w:rsidRDefault="00495380" w:rsidP="00495380">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5380" w:rsidRDefault="00495380" w:rsidP="00495380">
      <w:pPr>
        <w:tabs>
          <w:tab w:val="num" w:pos="720"/>
          <w:tab w:val="left" w:pos="1440"/>
        </w:tabs>
        <w:jc w:val="both"/>
        <w:rPr>
          <w:b/>
        </w:rPr>
      </w:pPr>
    </w:p>
    <w:p w:rsidR="00495380" w:rsidRDefault="00495380" w:rsidP="00495380">
      <w:pPr>
        <w:tabs>
          <w:tab w:val="num" w:pos="720"/>
          <w:tab w:val="left" w:pos="1440"/>
        </w:tabs>
        <w:jc w:val="both"/>
        <w:rPr>
          <w:b/>
        </w:rPr>
      </w:pPr>
      <w:r>
        <w:rPr>
          <w:b/>
        </w:rPr>
        <w:t>2. Підтвердження відсутності підстав, визначених </w:t>
      </w:r>
      <w:r>
        <w:t>пунктом 47 Особливостей</w:t>
      </w:r>
      <w:r>
        <w:rPr>
          <w:b/>
        </w:rPr>
        <w:t>.</w:t>
      </w:r>
    </w:p>
    <w:p w:rsidR="00495380" w:rsidRDefault="00495380" w:rsidP="00495380">
      <w:pPr>
        <w:tabs>
          <w:tab w:val="num" w:pos="720"/>
          <w:tab w:val="left" w:pos="1440"/>
        </w:tabs>
        <w:jc w:val="both"/>
        <w:rPr>
          <w:b/>
        </w:rPr>
      </w:pPr>
    </w:p>
    <w:p w:rsidR="00495380" w:rsidRDefault="00495380" w:rsidP="00495380">
      <w:pPr>
        <w:tabs>
          <w:tab w:val="num" w:pos="720"/>
          <w:tab w:val="left" w:pos="1440"/>
        </w:tabs>
        <w:jc w:val="both"/>
      </w:pPr>
      <w:r>
        <w:t xml:space="preserve">     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95380" w:rsidRDefault="00495380" w:rsidP="00495380">
      <w:pPr>
        <w:tabs>
          <w:tab w:val="num" w:pos="720"/>
          <w:tab w:val="left" w:pos="1440"/>
        </w:tabs>
        <w:jc w:val="both"/>
      </w:pPr>
    </w:p>
    <w:p w:rsidR="00495380" w:rsidRDefault="00495380" w:rsidP="00495380">
      <w:pPr>
        <w:tabs>
          <w:tab w:val="num" w:pos="720"/>
          <w:tab w:val="left" w:pos="1440"/>
        </w:tabs>
        <w:jc w:val="both"/>
      </w:pPr>
      <w:r>
        <w:t xml:space="preserve">     На підтвердження відсутності підстав, визначених абзацом чотирнадцятим пункту 47 Особливостей Учасник має надати:</w:t>
      </w:r>
    </w:p>
    <w:p w:rsidR="00495380" w:rsidRDefault="00495380" w:rsidP="00495380">
      <w:pPr>
        <w:tabs>
          <w:tab w:val="num" w:pos="720"/>
          <w:tab w:val="left" w:pos="1440"/>
        </w:tabs>
        <w:jc w:val="both"/>
      </w:pPr>
    </w:p>
    <w:p w:rsidR="00495380" w:rsidRDefault="00495380" w:rsidP="00495380">
      <w:pPr>
        <w:widowControl w:val="0"/>
        <w:jc w:val="both"/>
        <w:rPr>
          <w:color w:val="000000"/>
        </w:rPr>
      </w:pPr>
      <w:r>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i/>
          <w:color w:val="000000"/>
        </w:rPr>
        <w:t xml:space="preserve"> </w:t>
      </w:r>
      <w:r>
        <w:rPr>
          <w:color w:val="000000"/>
        </w:rPr>
        <w:t>Якщо Замовник вважає таке підтвердження достатнім, Учаснику не може бути відмовлено в участі в процедурі закупівлі.</w:t>
      </w:r>
    </w:p>
    <w:p w:rsidR="00495380" w:rsidRDefault="00495380" w:rsidP="00495380">
      <w:pPr>
        <w:tabs>
          <w:tab w:val="num" w:pos="720"/>
          <w:tab w:val="left" w:pos="1440"/>
        </w:tabs>
        <w:jc w:val="both"/>
      </w:pPr>
    </w:p>
    <w:p w:rsidR="00495380" w:rsidRDefault="00495380" w:rsidP="00495380">
      <w:pPr>
        <w:widowControl w:val="0"/>
        <w:spacing w:before="120"/>
        <w:rPr>
          <w:b/>
          <w:color w:val="000000"/>
        </w:rPr>
      </w:pPr>
      <w:r>
        <w:rPr>
          <w:b/>
          <w:color w:val="000000"/>
        </w:rPr>
        <w:t> 2. Інші документи від Учасника, що вимагаються Замовником</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02"/>
        <w:gridCol w:w="6463"/>
      </w:tblGrid>
      <w:tr w:rsidR="00495380" w:rsidRPr="00927196" w:rsidTr="00DB3C16">
        <w:trPr>
          <w:trHeight w:val="20"/>
          <w:jc w:val="center"/>
        </w:trPr>
        <w:tc>
          <w:tcPr>
            <w:tcW w:w="3603" w:type="dxa"/>
            <w:tcBorders>
              <w:top w:val="single" w:sz="4" w:space="0" w:color="000000"/>
              <w:left w:val="single" w:sz="4" w:space="0" w:color="000000"/>
              <w:bottom w:val="single" w:sz="4" w:space="0" w:color="000000"/>
              <w:right w:val="single" w:sz="4" w:space="0" w:color="000000"/>
            </w:tcBorders>
            <w:hideMark/>
          </w:tcPr>
          <w:p w:rsidR="00495380" w:rsidRDefault="00495380" w:rsidP="00DB3C16">
            <w:pPr>
              <w:widowControl w:val="0"/>
              <w:spacing w:line="256" w:lineRule="auto"/>
              <w:jc w:val="center"/>
              <w:rPr>
                <w:b/>
                <w:color w:val="000000"/>
              </w:rPr>
            </w:pPr>
            <w:r>
              <w:rPr>
                <w:b/>
                <w:color w:val="000000"/>
              </w:rPr>
              <w:t>Вимога</w:t>
            </w:r>
          </w:p>
        </w:tc>
        <w:tc>
          <w:tcPr>
            <w:tcW w:w="6466" w:type="dxa"/>
            <w:tcBorders>
              <w:top w:val="single" w:sz="4" w:space="0" w:color="000000"/>
              <w:left w:val="single" w:sz="4" w:space="0" w:color="000000"/>
              <w:bottom w:val="single" w:sz="4" w:space="0" w:color="000000"/>
              <w:right w:val="single" w:sz="4" w:space="0" w:color="000000"/>
            </w:tcBorders>
            <w:hideMark/>
          </w:tcPr>
          <w:p w:rsidR="00495380" w:rsidRDefault="00495380" w:rsidP="00DB3C16">
            <w:pPr>
              <w:widowControl w:val="0"/>
              <w:spacing w:line="256" w:lineRule="auto"/>
              <w:jc w:val="center"/>
              <w:rPr>
                <w:b/>
                <w:color w:val="000000"/>
              </w:rPr>
            </w:pPr>
            <w:r>
              <w:rPr>
                <w:b/>
                <w:color w:val="000000"/>
              </w:rPr>
              <w:t>Документи щодо підтвердження інформації про відповідність вимогам</w:t>
            </w:r>
          </w:p>
        </w:tc>
      </w:tr>
      <w:tr w:rsidR="00495380" w:rsidRPr="00927196" w:rsidTr="00DB3C16">
        <w:trPr>
          <w:trHeight w:val="20"/>
          <w:jc w:val="center"/>
        </w:trPr>
        <w:tc>
          <w:tcPr>
            <w:tcW w:w="3603" w:type="dxa"/>
            <w:tcBorders>
              <w:top w:val="single" w:sz="4" w:space="0" w:color="000000"/>
              <w:left w:val="single" w:sz="4" w:space="0" w:color="000000"/>
              <w:bottom w:val="single" w:sz="4" w:space="0" w:color="000000"/>
              <w:right w:val="single" w:sz="4" w:space="0" w:color="000000"/>
            </w:tcBorders>
            <w:hideMark/>
          </w:tcPr>
          <w:p w:rsidR="00495380" w:rsidRDefault="00495380" w:rsidP="00DB3C16">
            <w:pPr>
              <w:widowControl w:val="0"/>
              <w:spacing w:line="256" w:lineRule="auto"/>
              <w:rPr>
                <w:color w:val="000000"/>
              </w:rPr>
            </w:pPr>
            <w:r>
              <w:rPr>
                <w:color w:val="000000"/>
              </w:rPr>
              <w:t>2. Інформація про Учасника</w:t>
            </w:r>
          </w:p>
        </w:tc>
        <w:tc>
          <w:tcPr>
            <w:tcW w:w="6466" w:type="dxa"/>
            <w:tcBorders>
              <w:top w:val="single" w:sz="4" w:space="0" w:color="000000"/>
              <w:left w:val="single" w:sz="4" w:space="0" w:color="000000"/>
              <w:bottom w:val="single" w:sz="4" w:space="0" w:color="000000"/>
              <w:right w:val="single" w:sz="4" w:space="0" w:color="000000"/>
            </w:tcBorders>
            <w:hideMark/>
          </w:tcPr>
          <w:p w:rsidR="00495380" w:rsidRDefault="00495380" w:rsidP="00DB3C16">
            <w:pPr>
              <w:widowControl w:val="0"/>
              <w:spacing w:line="256" w:lineRule="auto"/>
              <w:jc w:val="both"/>
              <w:rPr>
                <w:color w:val="000000"/>
              </w:rPr>
            </w:pPr>
            <w:r>
              <w:rPr>
                <w:color w:val="000000"/>
              </w:rPr>
              <w:t>2.1. Копія Статуту або іншого установчого документа (зі змінами у разі наявності) (для юридичних осіб).</w:t>
            </w:r>
          </w:p>
          <w:p w:rsidR="00495380" w:rsidRDefault="00495380" w:rsidP="00DB3C16">
            <w:pPr>
              <w:widowControl w:val="0"/>
              <w:spacing w:line="256" w:lineRule="auto"/>
              <w:jc w:val="both"/>
              <w:rPr>
                <w:color w:val="000000"/>
              </w:rPr>
            </w:pPr>
            <w:r>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495380" w:rsidRDefault="00495380" w:rsidP="00DB3C16">
            <w:pPr>
              <w:widowControl w:val="0"/>
              <w:spacing w:line="256" w:lineRule="auto"/>
              <w:jc w:val="both"/>
              <w:rPr>
                <w:color w:val="000000"/>
              </w:rPr>
            </w:pPr>
            <w:r>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495380" w:rsidRDefault="00495380" w:rsidP="00DB3C16">
            <w:pPr>
              <w:widowControl w:val="0"/>
              <w:spacing w:line="256" w:lineRule="auto"/>
              <w:jc w:val="both"/>
              <w:rPr>
                <w:color w:val="000000"/>
              </w:rPr>
            </w:pPr>
            <w:r>
              <w:rPr>
                <w:color w:val="000000"/>
              </w:rPr>
              <w:t>2.4. Копія довідки про присвоєння ідентифікаційного коду (для фізичних осіб).</w:t>
            </w:r>
          </w:p>
          <w:p w:rsidR="00495380" w:rsidRDefault="00495380" w:rsidP="00DB3C16">
            <w:pPr>
              <w:widowControl w:val="0"/>
              <w:spacing w:line="256" w:lineRule="auto"/>
              <w:jc w:val="both"/>
              <w:rPr>
                <w:color w:val="000000"/>
              </w:rPr>
            </w:pPr>
            <w:r>
              <w:rPr>
                <w:color w:val="000000"/>
              </w:rPr>
              <w:t>2.5. Копія паспорту (для фізичних осіб)</w:t>
            </w:r>
          </w:p>
        </w:tc>
      </w:tr>
    </w:tbl>
    <w:p w:rsidR="00495380" w:rsidRDefault="00495380" w:rsidP="00495380">
      <w:pPr>
        <w:ind w:firstLine="567"/>
        <w:jc w:val="both"/>
        <w:rPr>
          <w:color w:val="00B050"/>
        </w:rPr>
      </w:pPr>
    </w:p>
    <w:p w:rsidR="00495380" w:rsidRDefault="00495380" w:rsidP="00495380">
      <w:pPr>
        <w:shd w:val="clear" w:color="auto" w:fill="FFFFFF"/>
        <w:rPr>
          <w:b/>
          <w:color w:val="000000"/>
          <w:sz w:val="20"/>
          <w:szCs w:val="20"/>
        </w:rPr>
      </w:pPr>
    </w:p>
    <w:p w:rsidR="00495380" w:rsidRDefault="00495380" w:rsidP="00495380">
      <w:pPr>
        <w:shd w:val="clear" w:color="auto" w:fill="FFFFFF"/>
        <w:jc w:val="both"/>
        <w:rPr>
          <w:sz w:val="22"/>
          <w:szCs w:val="22"/>
        </w:rPr>
      </w:pPr>
      <w:r>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80" w:type="dxa"/>
        <w:tblLayout w:type="fixed"/>
        <w:tblLook w:val="0400" w:firstRow="0" w:lastRow="0" w:firstColumn="0" w:lastColumn="0" w:noHBand="0" w:noVBand="1"/>
      </w:tblPr>
      <w:tblGrid>
        <w:gridCol w:w="557"/>
        <w:gridCol w:w="9223"/>
      </w:tblGrid>
      <w:tr w:rsidR="00495380" w:rsidRPr="00927196" w:rsidTr="00DB3C16">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95380" w:rsidRDefault="00495380" w:rsidP="00DB3C16">
            <w:pPr>
              <w:spacing w:line="256" w:lineRule="auto"/>
              <w:ind w:left="100"/>
              <w:jc w:val="center"/>
              <w:rPr>
                <w:sz w:val="20"/>
                <w:szCs w:val="20"/>
              </w:rPr>
            </w:pPr>
            <w:r>
              <w:rPr>
                <w:b/>
                <w:color w:val="000000"/>
                <w:sz w:val="20"/>
                <w:szCs w:val="20"/>
              </w:rPr>
              <w:t>Інші документи від Учасника:</w:t>
            </w:r>
          </w:p>
        </w:tc>
      </w:tr>
      <w:tr w:rsidR="00495380" w:rsidRPr="00927196" w:rsidTr="00DB3C16">
        <w:trPr>
          <w:trHeight w:val="5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line="256" w:lineRule="auto"/>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5380" w:rsidRDefault="00495380" w:rsidP="00DB3C16">
            <w:pPr>
              <w:tabs>
                <w:tab w:val="left" w:pos="1080"/>
              </w:tabs>
              <w:spacing w:line="256" w:lineRule="auto"/>
              <w:ind w:firstLine="184"/>
              <w:jc w:val="both"/>
              <w:rPr>
                <w:color w:val="000000"/>
                <w:lang w:eastAsia="uk-UA"/>
              </w:rPr>
            </w:pPr>
            <w:r>
              <w:rPr>
                <w:color w:val="000000"/>
                <w:lang w:eastAsia="uk-UA"/>
              </w:rPr>
              <w:t xml:space="preserve">Для фізичних осіб, фізичних осіб- підприємців Картка про присвоєння ідентифікаційного коду, у разі відсутності з релігійних переконань, копію сторінки </w:t>
            </w:r>
            <w:r>
              <w:rPr>
                <w:color w:val="000000"/>
                <w:lang w:eastAsia="uk-UA"/>
              </w:rPr>
              <w:lastRenderedPageBreak/>
              <w:t>паспорта з відповідною відміткою  або лист-пояснення із зазначенням законодавчих підстав ненадання документу</w:t>
            </w:r>
          </w:p>
          <w:p w:rsidR="00495380" w:rsidRDefault="00495380" w:rsidP="00DB3C16">
            <w:pPr>
              <w:tabs>
                <w:tab w:val="left" w:pos="1080"/>
              </w:tabs>
              <w:spacing w:line="256" w:lineRule="auto"/>
              <w:jc w:val="both"/>
              <w:rPr>
                <w:color w:val="000000"/>
                <w:lang w:eastAsia="uk-UA"/>
              </w:rPr>
            </w:pPr>
            <w:r>
              <w:rPr>
                <w:color w:val="000000"/>
                <w:lang w:eastAsia="uk-UA"/>
              </w:rPr>
              <w:t xml:space="preserve">та </w:t>
            </w:r>
          </w:p>
          <w:p w:rsidR="00495380" w:rsidRDefault="00495380" w:rsidP="00DB3C16">
            <w:pPr>
              <w:spacing w:line="256" w:lineRule="auto"/>
              <w:ind w:left="140" w:right="120" w:hanging="20"/>
              <w:jc w:val="both"/>
              <w:rPr>
                <w:color w:val="000000"/>
                <w:lang w:eastAsia="uk-UA"/>
              </w:rPr>
            </w:pPr>
            <w:r>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95380" w:rsidRDefault="00495380" w:rsidP="00DB3C16">
            <w:pPr>
              <w:spacing w:line="256" w:lineRule="auto"/>
              <w:ind w:left="100"/>
              <w:jc w:val="both"/>
              <w:rPr>
                <w:sz w:val="20"/>
                <w:szCs w:val="20"/>
              </w:rPr>
            </w:pPr>
          </w:p>
        </w:tc>
      </w:tr>
      <w:tr w:rsidR="00495380" w:rsidRPr="00927196" w:rsidTr="00DB3C16">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line="256" w:lineRule="auto"/>
              <w:ind w:left="100"/>
              <w:rPr>
                <w:b/>
                <w:color w:val="000000"/>
                <w:sz w:val="20"/>
                <w:szCs w:val="20"/>
              </w:rPr>
            </w:pPr>
            <w:r>
              <w:rPr>
                <w:b/>
                <w:color w:val="000000"/>
                <w:sz w:val="20"/>
                <w:szCs w:val="20"/>
              </w:rPr>
              <w:lastRenderedPageBreak/>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line="256" w:lineRule="auto"/>
              <w:ind w:left="100"/>
              <w:jc w:val="both"/>
              <w:rPr>
                <w:color w:val="000000"/>
              </w:rPr>
            </w:pPr>
            <w:r>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95380" w:rsidRPr="00927196" w:rsidTr="00DB3C16">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before="240" w:line="256" w:lineRule="auto"/>
              <w:ind w:left="100"/>
              <w:rPr>
                <w:sz w:val="20"/>
                <w:szCs w:val="20"/>
              </w:rPr>
            </w:pPr>
            <w:r>
              <w:rPr>
                <w:b/>
                <w:color w:val="000000"/>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line="256" w:lineRule="auto"/>
              <w:ind w:left="100" w:right="120" w:hanging="20"/>
              <w:jc w:val="both"/>
            </w:pPr>
            <w:r>
              <w:rPr>
                <w:b/>
                <w:color w:val="000000"/>
              </w:rPr>
              <w:t xml:space="preserve">Достовірна інформація у вигляді довідки довільної форми, </w:t>
            </w:r>
            <w:r>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rPr>
              <w:t>Замість довідки довільної форми учасник може надати чинну ліцензію або документ дозвільного характеру</w:t>
            </w:r>
          </w:p>
        </w:tc>
      </w:tr>
      <w:tr w:rsidR="00495380" w:rsidRPr="00927196" w:rsidTr="00DB3C16">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line="256" w:lineRule="auto"/>
              <w:ind w:left="100"/>
              <w:rPr>
                <w:color w:val="000000"/>
                <w:lang w:eastAsia="uk-UA"/>
              </w:rPr>
            </w:pPr>
            <w:r>
              <w:rPr>
                <w:color w:val="00000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5380" w:rsidRDefault="00495380" w:rsidP="00DB3C16">
            <w:pPr>
              <w:spacing w:line="256" w:lineRule="auto"/>
              <w:jc w:val="both"/>
              <w:rPr>
                <w:color w:val="000000"/>
                <w:lang w:eastAsia="uk-UA"/>
              </w:rPr>
            </w:pPr>
            <w:r>
              <w:rPr>
                <w:color w:val="000000"/>
                <w:lang w:eastAsia="uk-UA"/>
              </w:rPr>
              <w:t>Гарантійний  лист від Учасника  наступного змісту:</w:t>
            </w:r>
          </w:p>
          <w:p w:rsidR="00495380" w:rsidRDefault="00495380" w:rsidP="00DB3C16">
            <w:pPr>
              <w:spacing w:line="256" w:lineRule="auto"/>
              <w:jc w:val="both"/>
              <w:rPr>
                <w:color w:val="000000"/>
                <w:lang w:eastAsia="uk-UA"/>
              </w:rPr>
            </w:pPr>
            <w:r>
              <w:rPr>
                <w:color w:val="000000"/>
                <w:lang w:eastAsia="uk-UA"/>
              </w:rPr>
              <w:t xml:space="preserve">“Даним листом підтверджуємо, що </w:t>
            </w:r>
            <w:r>
              <w:rPr>
                <w:color w:val="000000"/>
                <w:u w:val="single"/>
                <w:lang w:eastAsia="uk-UA"/>
              </w:rPr>
              <w:t xml:space="preserve">Учасник </w:t>
            </w:r>
            <w:proofErr w:type="spellStart"/>
            <w:r>
              <w:rPr>
                <w:color w:val="000000"/>
                <w:u w:val="single"/>
                <w:lang w:val="ru-RU" w:eastAsia="uk-UA"/>
              </w:rPr>
              <w:t>закупівлі</w:t>
            </w:r>
            <w:proofErr w:type="spellEnd"/>
            <w:r>
              <w:rPr>
                <w:color w:val="000000"/>
                <w:u w:val="single"/>
                <w:lang w:eastAsia="uk-UA"/>
              </w:rPr>
              <w:t xml:space="preserve"> – назва учасника</w:t>
            </w:r>
            <w:r>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495380" w:rsidRDefault="00495380" w:rsidP="00DB3C16">
            <w:pPr>
              <w:spacing w:line="256" w:lineRule="auto"/>
              <w:jc w:val="both"/>
              <w:rPr>
                <w:lang w:val="ru-RU" w:eastAsia="uk-UA"/>
              </w:rPr>
            </w:pPr>
          </w:p>
        </w:tc>
      </w:tr>
      <w:tr w:rsidR="00495380" w:rsidRPr="00927196" w:rsidTr="00DB3C16">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line="256" w:lineRule="auto"/>
              <w:ind w:left="100"/>
              <w:rPr>
                <w:b/>
                <w:lang w:eastAsia="uk-UA"/>
              </w:rPr>
            </w:pPr>
            <w:r>
              <w:rPr>
                <w:b/>
                <w:color w:val="00000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line="256" w:lineRule="auto"/>
              <w:jc w:val="both"/>
              <w:rPr>
                <w:color w:val="000000"/>
                <w:lang w:val="ru-RU" w:eastAsia="uk-UA"/>
              </w:rPr>
            </w:pPr>
            <w:r>
              <w:rPr>
                <w:lang w:eastAsia="uk-UA"/>
              </w:rPr>
              <w:t xml:space="preserve">Лист-погодження Учасника з умовами проекту Договору, що міститься в </w:t>
            </w:r>
            <w:r w:rsidRPr="00FA14E6">
              <w:rPr>
                <w:lang w:eastAsia="uk-UA"/>
              </w:rPr>
              <w:t>Додатку 7</w:t>
            </w:r>
            <w:r>
              <w:rPr>
                <w:lang w:eastAsia="uk-UA"/>
              </w:rPr>
              <w:t xml:space="preserve"> до тендерної документації.</w:t>
            </w:r>
          </w:p>
        </w:tc>
      </w:tr>
      <w:tr w:rsidR="00495380" w:rsidRPr="00927196" w:rsidTr="00DB3C16">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before="240" w:line="256" w:lineRule="auto"/>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line="256" w:lineRule="auto"/>
              <w:ind w:left="120" w:right="120" w:hanging="20"/>
              <w:jc w:val="both"/>
            </w:pPr>
            <w:r>
              <w:rPr>
                <w:color w:val="000000"/>
              </w:rPr>
              <w:t xml:space="preserve">Довідка, складена в довільній формі, яка містить інформацію про засновника та кінцевого </w:t>
            </w:r>
            <w:proofErr w:type="spellStart"/>
            <w:r>
              <w:rPr>
                <w:color w:val="000000"/>
              </w:rPr>
              <w:t>бенефіціарного</w:t>
            </w:r>
            <w:proofErr w:type="spellEnd"/>
            <w:r>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color w:val="000000"/>
              </w:rPr>
              <w:t>бенефіціарного</w:t>
            </w:r>
            <w:proofErr w:type="spellEnd"/>
            <w:r>
              <w:rPr>
                <w:color w:val="000000"/>
              </w:rPr>
              <w:t xml:space="preserve"> власника, адреса його </w:t>
            </w:r>
            <w:r>
              <w:t>місця проживання</w:t>
            </w:r>
            <w:r>
              <w:rPr>
                <w:color w:val="000000"/>
              </w:rPr>
              <w:t xml:space="preserve"> та громадянство.</w:t>
            </w:r>
          </w:p>
          <w:p w:rsidR="00495380" w:rsidRDefault="00495380" w:rsidP="00DB3C16">
            <w:pPr>
              <w:spacing w:line="256" w:lineRule="auto"/>
              <w:ind w:left="100" w:right="120" w:hanging="20"/>
              <w:jc w:val="both"/>
            </w:pPr>
            <w:r>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i/>
                <w:color w:val="000000"/>
              </w:rPr>
              <w:t>бенефіціарного</w:t>
            </w:r>
            <w:proofErr w:type="spellEnd"/>
            <w:r>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71C4A" w:rsidRPr="00927196" w:rsidTr="00DB3C16">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C4A" w:rsidRDefault="00E71C4A" w:rsidP="00DB3C16">
            <w:pPr>
              <w:spacing w:before="240" w:line="256" w:lineRule="auto"/>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C4A" w:rsidRPr="00E71C4A" w:rsidRDefault="00E71C4A" w:rsidP="00E71C4A">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71C4A" w:rsidRPr="00E71C4A" w:rsidRDefault="00E71C4A" w:rsidP="00E71C4A">
            <w:pPr>
              <w:numPr>
                <w:ilvl w:val="0"/>
                <w:numId w:val="5"/>
              </w:numPr>
              <w:ind w:left="283" w:hanging="283"/>
              <w:jc w:val="both"/>
            </w:pPr>
            <w:r w:rsidRPr="00E71C4A">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71C4A" w:rsidRPr="00E71C4A" w:rsidRDefault="00E71C4A" w:rsidP="00E71C4A">
            <w:pPr>
              <w:ind w:left="283" w:hanging="283"/>
              <w:jc w:val="both"/>
              <w:rPr>
                <w:i/>
              </w:rPr>
            </w:pPr>
            <w:r w:rsidRPr="00E71C4A">
              <w:rPr>
                <w:i/>
              </w:rPr>
              <w:t>або</w:t>
            </w:r>
          </w:p>
          <w:p w:rsidR="00E71C4A" w:rsidRPr="00E71C4A" w:rsidRDefault="00E71C4A" w:rsidP="00E71C4A">
            <w:pPr>
              <w:numPr>
                <w:ilvl w:val="0"/>
                <w:numId w:val="6"/>
              </w:numPr>
              <w:ind w:left="283" w:hanging="283"/>
              <w:jc w:val="both"/>
            </w:pPr>
            <w:r w:rsidRPr="00E71C4A">
              <w:t>посвідчення біженця чи документ, що підтверджує надання притулку в Україні,</w:t>
            </w:r>
          </w:p>
          <w:p w:rsidR="00E71C4A" w:rsidRPr="00E71C4A" w:rsidRDefault="00E71C4A" w:rsidP="00E71C4A">
            <w:pPr>
              <w:ind w:left="283" w:hanging="283"/>
              <w:jc w:val="both"/>
              <w:rPr>
                <w:i/>
              </w:rPr>
            </w:pPr>
            <w:r w:rsidRPr="00E71C4A">
              <w:rPr>
                <w:i/>
              </w:rPr>
              <w:t>або</w:t>
            </w:r>
          </w:p>
          <w:p w:rsidR="00E71C4A" w:rsidRPr="00E71C4A" w:rsidRDefault="00E71C4A" w:rsidP="00E71C4A">
            <w:pPr>
              <w:numPr>
                <w:ilvl w:val="0"/>
                <w:numId w:val="3"/>
              </w:numPr>
              <w:ind w:left="283" w:hanging="283"/>
              <w:jc w:val="both"/>
            </w:pPr>
            <w:r w:rsidRPr="00E71C4A">
              <w:t xml:space="preserve"> посвідчення особи, яка потребує додаткового захисту в Україні,</w:t>
            </w:r>
          </w:p>
          <w:p w:rsidR="00E71C4A" w:rsidRPr="00E71C4A" w:rsidRDefault="00E71C4A" w:rsidP="00E71C4A">
            <w:pPr>
              <w:ind w:left="283" w:hanging="283"/>
              <w:jc w:val="both"/>
              <w:rPr>
                <w:i/>
              </w:rPr>
            </w:pPr>
            <w:r w:rsidRPr="00E71C4A">
              <w:rPr>
                <w:i/>
              </w:rPr>
              <w:t>або</w:t>
            </w:r>
          </w:p>
          <w:p w:rsidR="00E71C4A" w:rsidRPr="00E71C4A" w:rsidRDefault="00E71C4A" w:rsidP="00E71C4A">
            <w:pPr>
              <w:numPr>
                <w:ilvl w:val="0"/>
                <w:numId w:val="4"/>
              </w:numPr>
              <w:shd w:val="clear" w:color="auto" w:fill="FFFFFF"/>
              <w:ind w:left="283" w:hanging="283"/>
              <w:jc w:val="both"/>
            </w:pPr>
            <w:r w:rsidRPr="00E71C4A">
              <w:t>посвідчення особи, якій надано тимчасовий захист в Україні,</w:t>
            </w:r>
          </w:p>
          <w:p w:rsidR="00E71C4A" w:rsidRPr="00E71C4A" w:rsidRDefault="00E71C4A" w:rsidP="00E71C4A">
            <w:pPr>
              <w:shd w:val="clear" w:color="auto" w:fill="FFFFFF"/>
              <w:ind w:left="283" w:hanging="283"/>
              <w:jc w:val="both"/>
              <w:rPr>
                <w:i/>
              </w:rPr>
            </w:pPr>
            <w:r w:rsidRPr="00E71C4A">
              <w:rPr>
                <w:i/>
              </w:rPr>
              <w:t>або</w:t>
            </w:r>
          </w:p>
          <w:p w:rsidR="00E71C4A" w:rsidRPr="00E71C4A" w:rsidRDefault="00E71C4A" w:rsidP="00E71C4A">
            <w:pPr>
              <w:spacing w:line="256" w:lineRule="auto"/>
              <w:ind w:left="120" w:right="120" w:hanging="20"/>
              <w:jc w:val="both"/>
              <w:rPr>
                <w:color w:val="000000"/>
              </w:rPr>
            </w:pPr>
            <w:r w:rsidRPr="00E71C4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95380" w:rsidRPr="00927196" w:rsidTr="00DB3C16">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5F22AD" w:rsidP="00DB3C16">
            <w:pPr>
              <w:spacing w:before="240" w:line="256" w:lineRule="auto"/>
              <w:ind w:left="100"/>
              <w:rPr>
                <w:b/>
                <w:color w:val="000000"/>
                <w:sz w:val="20"/>
                <w:szCs w:val="20"/>
              </w:rPr>
            </w:pPr>
            <w:r>
              <w:rPr>
                <w:b/>
                <w:color w:val="000000"/>
                <w:sz w:val="20"/>
                <w:szCs w:val="20"/>
              </w:rPr>
              <w:lastRenderedPageBreak/>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495380" w:rsidP="00DB3C16">
            <w:pPr>
              <w:spacing w:line="256" w:lineRule="auto"/>
              <w:ind w:left="120" w:right="120" w:hanging="20"/>
              <w:jc w:val="both"/>
            </w:pPr>
            <w:r>
              <w:rPr>
                <w:lang w:eastAsia="zh-CN"/>
              </w:rPr>
              <w:t>Довідка про те, що Учасник не є особою</w:t>
            </w:r>
            <w:r>
              <w:rPr>
                <w:bCs/>
              </w:rPr>
              <w:t>, пов’язаною з державою-агресором</w:t>
            </w:r>
            <w:r>
              <w:t xml:space="preserve"> стосовно якої встановлено </w:t>
            </w:r>
            <w:r>
              <w:rPr>
                <w:bCs/>
              </w:rPr>
              <w:t>мораторій (заборону) на виконання</w:t>
            </w:r>
            <w:r>
              <w:t xml:space="preserve">, </w:t>
            </w:r>
            <w:r>
              <w:rPr>
                <w:bCs/>
              </w:rPr>
              <w:t xml:space="preserve">у тому числі в примусовому порядку, грошових та інших зобов’язань (відповідно до </w:t>
            </w:r>
            <w:hyperlink r:id="rId5" w:anchor="Text" w:tooltip="Current Document" w:history="1">
              <w:r>
                <w:rPr>
                  <w:rStyle w:val="a6"/>
                  <w:bCs/>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Pr>
                <w:lang w:eastAsia="zh-CN"/>
              </w:rPr>
              <w:t>)</w:t>
            </w:r>
            <w:r>
              <w:rPr>
                <w:bCs/>
              </w:rPr>
              <w:t>.</w:t>
            </w:r>
          </w:p>
        </w:tc>
      </w:tr>
      <w:tr w:rsidR="00495380" w:rsidRPr="00927196" w:rsidTr="00DB3C16">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380" w:rsidRDefault="005F22AD" w:rsidP="00DB3C16">
            <w:pPr>
              <w:spacing w:before="240" w:line="256" w:lineRule="auto"/>
              <w:ind w:left="100"/>
              <w:rPr>
                <w:b/>
                <w:color w:val="000000"/>
                <w:sz w:val="20"/>
                <w:szCs w:val="20"/>
              </w:rPr>
            </w:pPr>
            <w:r>
              <w:rPr>
                <w:b/>
                <w:color w:val="000000"/>
                <w:sz w:val="20"/>
                <w:szCs w:val="20"/>
              </w:rPr>
              <w:t>9</w:t>
            </w:r>
            <w:bookmarkStart w:id="0" w:name="_GoBack"/>
            <w:bookmarkEnd w:id="0"/>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5380" w:rsidRPr="00352E99" w:rsidRDefault="00495380" w:rsidP="00DB3C16">
            <w:pPr>
              <w:widowControl w:val="0"/>
              <w:spacing w:line="256" w:lineRule="auto"/>
              <w:ind w:firstLine="567"/>
              <w:jc w:val="both"/>
              <w:rPr>
                <w:sz w:val="22"/>
                <w:szCs w:val="22"/>
              </w:rPr>
            </w:pPr>
            <w:r w:rsidRPr="00352E99">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52E99">
              <w:rPr>
                <w:i/>
                <w:sz w:val="22"/>
                <w:szCs w:val="22"/>
              </w:rPr>
              <w:t>(у разі застосування таких критеріїв до учасника процедури закупівлі)</w:t>
            </w:r>
            <w:r w:rsidRPr="00352E99">
              <w:rPr>
                <w:sz w:val="22"/>
                <w:szCs w:val="22"/>
              </w:rPr>
              <w:t xml:space="preserve">, замовник перевіряє таких суб’єктів господарювання </w:t>
            </w:r>
            <w:r w:rsidR="00DF4A99">
              <w:rPr>
                <w:sz w:val="22"/>
                <w:szCs w:val="22"/>
              </w:rPr>
              <w:t>щодо</w:t>
            </w:r>
            <w:r w:rsidRPr="00352E99">
              <w:rPr>
                <w:sz w:val="22"/>
                <w:szCs w:val="22"/>
              </w:rPr>
              <w:t xml:space="preserve"> відсутність підстав, визначених пунктом</w:t>
            </w:r>
            <w:r w:rsidR="00DF4A99">
              <w:rPr>
                <w:sz w:val="22"/>
                <w:szCs w:val="22"/>
              </w:rPr>
              <w:t xml:space="preserve"> 47 Особливостей</w:t>
            </w:r>
            <w:r w:rsidRPr="00352E99">
              <w:rPr>
                <w:sz w:val="22"/>
                <w:szCs w:val="22"/>
              </w:rPr>
              <w:t>.</w:t>
            </w:r>
          </w:p>
          <w:p w:rsidR="00495380" w:rsidRDefault="00495380" w:rsidP="00DB3C16">
            <w:pPr>
              <w:spacing w:line="256" w:lineRule="auto"/>
              <w:ind w:firstLine="567"/>
              <w:jc w:val="both"/>
              <w:rPr>
                <w:color w:val="000000"/>
              </w:rPr>
            </w:pPr>
          </w:p>
        </w:tc>
      </w:tr>
    </w:tbl>
    <w:p w:rsidR="00495380" w:rsidRDefault="00495380" w:rsidP="00495380">
      <w:pPr>
        <w:widowControl w:val="0"/>
        <w:tabs>
          <w:tab w:val="left" w:pos="9900"/>
        </w:tabs>
        <w:rPr>
          <w:i/>
          <w:color w:val="000000"/>
          <w:u w:val="single"/>
        </w:rPr>
      </w:pPr>
    </w:p>
    <w:p w:rsidR="00495380" w:rsidRDefault="00495380" w:rsidP="00495380">
      <w:pPr>
        <w:widowControl w:val="0"/>
        <w:tabs>
          <w:tab w:val="left" w:pos="9900"/>
        </w:tabs>
        <w:rPr>
          <w:i/>
          <w:color w:val="000000"/>
          <w:u w:val="single"/>
        </w:rPr>
      </w:pPr>
    </w:p>
    <w:p w:rsidR="00495380" w:rsidRDefault="00495380" w:rsidP="00495380">
      <w:pPr>
        <w:widowControl w:val="0"/>
        <w:tabs>
          <w:tab w:val="left" w:pos="9900"/>
        </w:tabs>
        <w:spacing w:before="120"/>
        <w:rPr>
          <w:i/>
          <w:color w:val="000000"/>
          <w:u w:val="single"/>
        </w:rPr>
      </w:pPr>
      <w:r>
        <w:rPr>
          <w:i/>
          <w:color w:val="000000"/>
          <w:u w:val="single"/>
        </w:rPr>
        <w:t>Примітки:</w:t>
      </w:r>
    </w:p>
    <w:p w:rsidR="00495380" w:rsidRDefault="00495380" w:rsidP="00495380">
      <w:pPr>
        <w:pStyle w:val="a4"/>
        <w:numPr>
          <w:ilvl w:val="0"/>
          <w:numId w:val="2"/>
        </w:numPr>
        <w:tabs>
          <w:tab w:val="num" w:pos="540"/>
        </w:tabs>
        <w:jc w:val="both"/>
        <w:rPr>
          <w:i/>
          <w:color w:val="000000"/>
          <w:sz w:val="22"/>
          <w:szCs w:val="22"/>
        </w:rPr>
      </w:pPr>
      <w:bookmarkStart w:id="1" w:name="_2zbgiuw"/>
      <w:bookmarkEnd w:id="1"/>
      <w:r>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495380" w:rsidRDefault="00495380" w:rsidP="00495380">
      <w:pPr>
        <w:pStyle w:val="a4"/>
        <w:numPr>
          <w:ilvl w:val="0"/>
          <w:numId w:val="2"/>
        </w:numPr>
        <w:tabs>
          <w:tab w:val="clear" w:pos="502"/>
        </w:tabs>
        <w:jc w:val="both"/>
        <w:rPr>
          <w:b/>
          <w:i/>
          <w:sz w:val="22"/>
          <w:szCs w:val="22"/>
        </w:rPr>
      </w:pPr>
      <w:r>
        <w:rPr>
          <w:i/>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47Особливостей.</w:t>
      </w:r>
    </w:p>
    <w:p w:rsidR="00495380" w:rsidRDefault="00495380" w:rsidP="00495380">
      <w:pPr>
        <w:numPr>
          <w:ilvl w:val="0"/>
          <w:numId w:val="2"/>
        </w:numPr>
        <w:tabs>
          <w:tab w:val="num" w:pos="426"/>
          <w:tab w:val="num" w:pos="540"/>
        </w:tabs>
        <w:ind w:left="357" w:hanging="357"/>
        <w:jc w:val="both"/>
        <w:rPr>
          <w:i/>
          <w:color w:val="000000"/>
          <w:sz w:val="22"/>
          <w:szCs w:val="22"/>
        </w:rPr>
      </w:pPr>
      <w:r>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495380" w:rsidRDefault="00495380" w:rsidP="00495380">
      <w:pPr>
        <w:pStyle w:val="a4"/>
        <w:numPr>
          <w:ilvl w:val="0"/>
          <w:numId w:val="2"/>
        </w:numPr>
        <w:autoSpaceDE w:val="0"/>
        <w:jc w:val="both"/>
        <w:rPr>
          <w:bCs/>
          <w:i/>
          <w:iCs/>
          <w:sz w:val="22"/>
          <w:szCs w:val="22"/>
        </w:rPr>
      </w:pPr>
      <w:r>
        <w:rPr>
          <w:i/>
          <w:sz w:val="22"/>
          <w:szCs w:val="22"/>
        </w:rPr>
        <w:t>Учасники – нерезиденти подають документи, визначені цією тендерною документацією</w:t>
      </w:r>
      <w:r>
        <w:rPr>
          <w:i/>
          <w:sz w:val="22"/>
          <w:szCs w:val="22"/>
        </w:rPr>
        <w:br/>
      </w:r>
      <w:r>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95380" w:rsidRPr="00FA14E6" w:rsidRDefault="00495380" w:rsidP="00495380">
      <w:pPr>
        <w:widowControl w:val="0"/>
        <w:numPr>
          <w:ilvl w:val="0"/>
          <w:numId w:val="2"/>
        </w:numPr>
        <w:jc w:val="both"/>
        <w:rPr>
          <w:i/>
          <w:color w:val="000000"/>
          <w:sz w:val="22"/>
          <w:szCs w:val="22"/>
        </w:rPr>
      </w:pPr>
      <w:r w:rsidRPr="00FA14E6">
        <w:rPr>
          <w:i/>
          <w:color w:val="000000"/>
          <w:sz w:val="22"/>
          <w:szCs w:val="22"/>
        </w:rPr>
        <w:t>При подачі тендерної пропозиції, Учасник повинен звернути увагу на п.3.2 Портфелю проектів цифрового розвитку, цифрових трансформацій і цифровізації у митній справі Стратегічного плану цифрового розвитку</w:t>
      </w:r>
      <w:r>
        <w:rPr>
          <w:i/>
          <w:color w:val="000000"/>
          <w:sz w:val="22"/>
          <w:szCs w:val="22"/>
        </w:rPr>
        <w:t>,</w:t>
      </w:r>
      <w:r w:rsidRPr="00FA14E6">
        <w:rPr>
          <w:i/>
          <w:color w:val="000000"/>
          <w:sz w:val="22"/>
          <w:szCs w:val="22"/>
        </w:rPr>
        <w:t xml:space="preserve"> цифрових трансформацій і цифровізації Державної митної служби України та її територіальних підрозділів, затвердженого Рішенням Комітету з управління інформаційними технологіями у системі управління державними фінансами (протокол №4 від 08 грудня 2022 року), введеного в дію наказом Міністерства фінансів України від 15 грудня 2022 року №435, з урахуванням абзацу 6 пункту 12 Загальних вимог до </w:t>
      </w:r>
      <w:proofErr w:type="spellStart"/>
      <w:r w:rsidRPr="00FA14E6">
        <w:rPr>
          <w:i/>
          <w:color w:val="000000"/>
          <w:sz w:val="22"/>
          <w:szCs w:val="22"/>
        </w:rPr>
        <w:t>кіберзахисту</w:t>
      </w:r>
      <w:proofErr w:type="spellEnd"/>
      <w:r w:rsidRPr="00FA14E6">
        <w:rPr>
          <w:i/>
          <w:color w:val="000000"/>
          <w:sz w:val="22"/>
          <w:szCs w:val="22"/>
        </w:rPr>
        <w:t xml:space="preserve"> об’єктів критичної інфраструктури, затверджених постановою Кабінету Міністрів України від 19 червня 2019 р. №518. </w:t>
      </w:r>
    </w:p>
    <w:p w:rsidR="00495380" w:rsidRDefault="00495380" w:rsidP="00495380">
      <w:pPr>
        <w:pStyle w:val="a4"/>
        <w:rPr>
          <w:i/>
          <w:color w:val="000000"/>
          <w:sz w:val="22"/>
          <w:szCs w:val="22"/>
          <w:highlight w:val="yellow"/>
        </w:rPr>
      </w:pPr>
    </w:p>
    <w:p w:rsidR="00495380" w:rsidRPr="005E27BA" w:rsidRDefault="00495380" w:rsidP="00495380">
      <w:pPr>
        <w:pStyle w:val="a"/>
        <w:numPr>
          <w:ilvl w:val="0"/>
          <w:numId w:val="0"/>
        </w:numPr>
        <w:tabs>
          <w:tab w:val="num" w:pos="426"/>
        </w:tabs>
        <w:ind w:left="1353" w:hanging="360"/>
        <w:rPr>
          <w:i/>
          <w:sz w:val="22"/>
          <w:szCs w:val="22"/>
        </w:rPr>
      </w:pPr>
    </w:p>
    <w:p w:rsidR="00F65CD9" w:rsidRDefault="00F65CD9"/>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p w:rsidR="00356260" w:rsidRPr="00116514" w:rsidRDefault="00356260" w:rsidP="00356260">
      <w:pPr>
        <w:pageBreakBefore/>
        <w:ind w:left="6804"/>
        <w:outlineLvl w:val="0"/>
      </w:pPr>
      <w:r w:rsidRPr="00116514">
        <w:rPr>
          <w:b/>
        </w:rPr>
        <w:lastRenderedPageBreak/>
        <w:t>Додаток </w:t>
      </w:r>
      <w:r>
        <w:rPr>
          <w:b/>
        </w:rPr>
        <w:t>3.1.</w:t>
      </w:r>
      <w:r w:rsidRPr="00116514">
        <w:rPr>
          <w:b/>
        </w:rPr>
        <w:t xml:space="preserve"> </w:t>
      </w:r>
      <w:r w:rsidRPr="00116514">
        <w:rPr>
          <w:b/>
        </w:rPr>
        <w:br/>
      </w:r>
      <w:r w:rsidRPr="00116514">
        <w:t>до тендерної документації</w:t>
      </w:r>
    </w:p>
    <w:p w:rsidR="00356260" w:rsidRPr="00964DF3" w:rsidRDefault="00356260" w:rsidP="00356260">
      <w:pPr>
        <w:widowControl w:val="0"/>
        <w:autoSpaceDE w:val="0"/>
        <w:autoSpaceDN w:val="0"/>
        <w:adjustRightInd w:val="0"/>
        <w:spacing w:before="480" w:after="240"/>
        <w:jc w:val="center"/>
        <w:rPr>
          <w:bCs/>
          <w:i/>
        </w:rPr>
      </w:pPr>
      <w:r w:rsidRPr="00116514">
        <w:rPr>
          <w:bCs/>
          <w:i/>
        </w:rPr>
        <w:t xml:space="preserve">НА </w:t>
      </w:r>
      <w:r w:rsidRPr="00964DF3">
        <w:rPr>
          <w:bCs/>
          <w:i/>
        </w:rPr>
        <w:t>БЛАНКУ УЧАСНИКА (за наявності)</w:t>
      </w:r>
    </w:p>
    <w:p w:rsidR="00356260" w:rsidRPr="00964DF3" w:rsidRDefault="00356260" w:rsidP="00356260">
      <w:pPr>
        <w:widowControl w:val="0"/>
        <w:autoSpaceDE w:val="0"/>
        <w:autoSpaceDN w:val="0"/>
        <w:adjustRightInd w:val="0"/>
        <w:spacing w:before="240" w:after="480"/>
        <w:jc w:val="center"/>
        <w:rPr>
          <w:b/>
          <w:bCs/>
        </w:rPr>
      </w:pPr>
      <w:r w:rsidRPr="00964DF3">
        <w:rPr>
          <w:b/>
          <w:bCs/>
        </w:rPr>
        <w:t xml:space="preserve">ДОВІДКА </w:t>
      </w:r>
      <w:r w:rsidRPr="00964DF3">
        <w:rPr>
          <w:b/>
          <w:bCs/>
        </w:rPr>
        <w:br/>
        <w:t>ПРО НАЯВНІСТЬ ЗАСОБІВ ДЛЯ ЗАБЕЗПЕЧЕННЯ БЕЗПЕРЕРВНОЇ РОБОТИ</w:t>
      </w:r>
    </w:p>
    <w:p w:rsidR="00356260" w:rsidRPr="00964DF3" w:rsidRDefault="00356260" w:rsidP="00356260">
      <w:pPr>
        <w:widowControl w:val="0"/>
        <w:spacing w:before="120" w:after="120"/>
        <w:ind w:firstLine="709"/>
        <w:jc w:val="both"/>
      </w:pPr>
      <w:r w:rsidRPr="00964DF3">
        <w:rPr>
          <w:i/>
          <w:u w:val="single"/>
        </w:rPr>
        <w:t xml:space="preserve">     (найменування/ПІБ учасника)     </w:t>
      </w:r>
      <w:r w:rsidRPr="00964DF3">
        <w:t>, на виконання вимог статті 16 Закону України «Про публічні закупівлі» та тендерної документації, повідомляє про наявність необхідних засобів для забезпечення безперервної роботи, відповідно до п. 6 Рішення з окремих питань Витягу з Протоколу №168 засідання Кабінету Міністрів України від 30 грудня 2022 року,  згідно з кваліфікаційними критеріями, встановленими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6533"/>
        <w:gridCol w:w="1965"/>
      </w:tblGrid>
      <w:tr w:rsidR="00356260" w:rsidTr="00DB3C16">
        <w:tc>
          <w:tcPr>
            <w:tcW w:w="663"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pPr>
            <w:r>
              <w:t>№ з/п</w:t>
            </w:r>
          </w:p>
        </w:tc>
        <w:tc>
          <w:tcPr>
            <w:tcW w:w="6533"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pPr>
            <w:r>
              <w:t>Найменування засобу</w:t>
            </w:r>
          </w:p>
        </w:tc>
        <w:tc>
          <w:tcPr>
            <w:tcW w:w="1965"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pPr>
            <w:r>
              <w:t>Так/Ні</w:t>
            </w:r>
          </w:p>
        </w:tc>
      </w:tr>
      <w:tr w:rsidR="00356260" w:rsidRPr="00275001" w:rsidTr="00DB3C16">
        <w:tc>
          <w:tcPr>
            <w:tcW w:w="663" w:type="dxa"/>
            <w:tcBorders>
              <w:top w:val="single" w:sz="4" w:space="0" w:color="auto"/>
              <w:left w:val="single" w:sz="4" w:space="0" w:color="auto"/>
              <w:bottom w:val="single" w:sz="4" w:space="0" w:color="auto"/>
              <w:right w:val="single" w:sz="4" w:space="0" w:color="auto"/>
            </w:tcBorders>
            <w:hideMark/>
          </w:tcPr>
          <w:p w:rsidR="00356260" w:rsidRDefault="00356260" w:rsidP="00DB3C16">
            <w:pPr>
              <w:spacing w:after="120"/>
              <w:jc w:val="center"/>
            </w:pPr>
            <w:r>
              <w:t>1</w:t>
            </w:r>
          </w:p>
        </w:tc>
        <w:tc>
          <w:tcPr>
            <w:tcW w:w="6533" w:type="dxa"/>
            <w:tcBorders>
              <w:top w:val="single" w:sz="4" w:space="0" w:color="auto"/>
              <w:left w:val="single" w:sz="4" w:space="0" w:color="auto"/>
              <w:bottom w:val="single" w:sz="4" w:space="0" w:color="auto"/>
              <w:right w:val="single" w:sz="4" w:space="0" w:color="auto"/>
            </w:tcBorders>
            <w:hideMark/>
          </w:tcPr>
          <w:p w:rsidR="00356260" w:rsidRPr="00964DF3" w:rsidRDefault="00356260" w:rsidP="00DB3C16">
            <w:pPr>
              <w:spacing w:after="120"/>
            </w:pPr>
            <w:r w:rsidRPr="00964DF3">
              <w:t>Виконавець забезпечує резервування основних магістральних вузлів не менше ніж на двох майданчиках у різних містах, об’єднаних рознесеними маршрутами</w:t>
            </w:r>
          </w:p>
        </w:tc>
        <w:tc>
          <w:tcPr>
            <w:tcW w:w="1965"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jc w:val="center"/>
            </w:pPr>
          </w:p>
        </w:tc>
      </w:tr>
      <w:tr w:rsidR="00356260" w:rsidRPr="00275001" w:rsidTr="00DB3C16">
        <w:tc>
          <w:tcPr>
            <w:tcW w:w="663" w:type="dxa"/>
            <w:tcBorders>
              <w:top w:val="single" w:sz="4" w:space="0" w:color="auto"/>
              <w:left w:val="single" w:sz="4" w:space="0" w:color="auto"/>
              <w:bottom w:val="single" w:sz="4" w:space="0" w:color="auto"/>
              <w:right w:val="single" w:sz="4" w:space="0" w:color="auto"/>
            </w:tcBorders>
            <w:hideMark/>
          </w:tcPr>
          <w:p w:rsidR="00356260" w:rsidRDefault="00356260" w:rsidP="00DB3C16">
            <w:pPr>
              <w:spacing w:after="120"/>
              <w:jc w:val="center"/>
            </w:pPr>
            <w:r>
              <w:t>2</w:t>
            </w:r>
          </w:p>
        </w:tc>
        <w:tc>
          <w:tcPr>
            <w:tcW w:w="6533" w:type="dxa"/>
            <w:tcBorders>
              <w:top w:val="single" w:sz="4" w:space="0" w:color="auto"/>
              <w:left w:val="single" w:sz="4" w:space="0" w:color="auto"/>
              <w:bottom w:val="single" w:sz="4" w:space="0" w:color="auto"/>
              <w:right w:val="single" w:sz="4" w:space="0" w:color="auto"/>
            </w:tcBorders>
            <w:hideMark/>
          </w:tcPr>
          <w:p w:rsidR="00356260" w:rsidRDefault="00356260" w:rsidP="00DB3C16">
            <w:pPr>
              <w:spacing w:after="120"/>
            </w:pPr>
            <w:r>
              <w:t>Виконавець включений не менш ніж до двох постачальників ІР-транзиту різними маршрутами або в різних точках демаркації</w:t>
            </w:r>
          </w:p>
        </w:tc>
        <w:tc>
          <w:tcPr>
            <w:tcW w:w="1965"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jc w:val="center"/>
            </w:pPr>
          </w:p>
        </w:tc>
      </w:tr>
      <w:tr w:rsidR="00356260" w:rsidRPr="00275001" w:rsidTr="00DB3C16">
        <w:tc>
          <w:tcPr>
            <w:tcW w:w="663" w:type="dxa"/>
            <w:tcBorders>
              <w:top w:val="single" w:sz="4" w:space="0" w:color="auto"/>
              <w:left w:val="single" w:sz="4" w:space="0" w:color="auto"/>
              <w:bottom w:val="single" w:sz="4" w:space="0" w:color="auto"/>
              <w:right w:val="single" w:sz="4" w:space="0" w:color="auto"/>
            </w:tcBorders>
            <w:hideMark/>
          </w:tcPr>
          <w:p w:rsidR="00356260" w:rsidRDefault="00356260" w:rsidP="00DB3C16">
            <w:pPr>
              <w:spacing w:after="120"/>
              <w:jc w:val="center"/>
            </w:pPr>
            <w:r>
              <w:t>3</w:t>
            </w:r>
          </w:p>
        </w:tc>
        <w:tc>
          <w:tcPr>
            <w:tcW w:w="6533" w:type="dxa"/>
            <w:tcBorders>
              <w:top w:val="single" w:sz="4" w:space="0" w:color="auto"/>
              <w:left w:val="single" w:sz="4" w:space="0" w:color="auto"/>
              <w:bottom w:val="single" w:sz="4" w:space="0" w:color="auto"/>
              <w:right w:val="single" w:sz="4" w:space="0" w:color="auto"/>
            </w:tcBorders>
            <w:hideMark/>
          </w:tcPr>
          <w:p w:rsidR="00356260" w:rsidRDefault="00356260" w:rsidP="00DB3C16">
            <w:pPr>
              <w:spacing w:after="120"/>
            </w:pPr>
            <w:r>
              <w:t xml:space="preserve">Виконавець має резервування всіх транспортних магістральних </w:t>
            </w:r>
            <w:proofErr w:type="spellStart"/>
            <w:r>
              <w:t>лінків</w:t>
            </w:r>
            <w:proofErr w:type="spellEnd"/>
            <w:r>
              <w:t xml:space="preserve"> рознесеними маршрутами</w:t>
            </w:r>
          </w:p>
        </w:tc>
        <w:tc>
          <w:tcPr>
            <w:tcW w:w="1965"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jc w:val="center"/>
            </w:pPr>
          </w:p>
        </w:tc>
      </w:tr>
      <w:tr w:rsidR="00356260" w:rsidRPr="00275001" w:rsidTr="00DB3C16">
        <w:tc>
          <w:tcPr>
            <w:tcW w:w="663" w:type="dxa"/>
            <w:tcBorders>
              <w:top w:val="single" w:sz="4" w:space="0" w:color="auto"/>
              <w:left w:val="single" w:sz="4" w:space="0" w:color="auto"/>
              <w:bottom w:val="single" w:sz="4" w:space="0" w:color="auto"/>
              <w:right w:val="single" w:sz="4" w:space="0" w:color="auto"/>
            </w:tcBorders>
            <w:hideMark/>
          </w:tcPr>
          <w:p w:rsidR="00356260" w:rsidRDefault="00356260" w:rsidP="00DB3C16">
            <w:pPr>
              <w:spacing w:after="120"/>
              <w:jc w:val="center"/>
            </w:pPr>
            <w:r>
              <w:t>4</w:t>
            </w:r>
          </w:p>
        </w:tc>
        <w:tc>
          <w:tcPr>
            <w:tcW w:w="6533" w:type="dxa"/>
            <w:tcBorders>
              <w:top w:val="single" w:sz="4" w:space="0" w:color="auto"/>
              <w:left w:val="single" w:sz="4" w:space="0" w:color="auto"/>
              <w:bottom w:val="single" w:sz="4" w:space="0" w:color="auto"/>
              <w:right w:val="single" w:sz="4" w:space="0" w:color="auto"/>
            </w:tcBorders>
            <w:hideMark/>
          </w:tcPr>
          <w:p w:rsidR="00356260" w:rsidRDefault="00356260" w:rsidP="00DB3C16">
            <w:pPr>
              <w:spacing w:after="120"/>
            </w:pPr>
            <w:r>
              <w:t xml:space="preserve">Виконавець забезпечує функціонування магістральних елементів (вузлів) власної мережі з урахуванням можливої відсутності електроживлення на цих вузлах щонайменше протягом трьох діб шляхом використання резервних автономних джерел електроживлення, генераторів та створення оптимального запасу пально-мастильних матеріалів та інших матеріалів </w:t>
            </w:r>
          </w:p>
        </w:tc>
        <w:tc>
          <w:tcPr>
            <w:tcW w:w="1965"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jc w:val="center"/>
            </w:pPr>
          </w:p>
        </w:tc>
      </w:tr>
    </w:tbl>
    <w:p w:rsidR="00356260" w:rsidRDefault="00356260" w:rsidP="00356260">
      <w:pPr>
        <w:widowControl w:val="0"/>
        <w:spacing w:before="120" w:after="120"/>
        <w:ind w:firstLine="709"/>
        <w:jc w:val="both"/>
        <w:rPr>
          <w:color w:val="FF0000"/>
        </w:rPr>
      </w:pPr>
    </w:p>
    <w:p w:rsidR="00356260" w:rsidRDefault="00356260" w:rsidP="00356260">
      <w:pPr>
        <w:spacing w:before="120" w:after="120"/>
        <w:ind w:firstLine="709"/>
        <w:jc w:val="both"/>
      </w:pPr>
    </w:p>
    <w:p w:rsidR="00356260" w:rsidRPr="00116514" w:rsidRDefault="00356260" w:rsidP="00356260">
      <w:pPr>
        <w:spacing w:before="120" w:after="120"/>
        <w:ind w:firstLine="709"/>
        <w:jc w:val="both"/>
      </w:pPr>
    </w:p>
    <w:p w:rsidR="00356260" w:rsidRPr="00116514" w:rsidRDefault="00356260" w:rsidP="00356260">
      <w:pPr>
        <w:pBdr>
          <w:top w:val="single" w:sz="4" w:space="1" w:color="auto"/>
        </w:pBdr>
        <w:spacing w:before="120" w:after="120"/>
        <w:jc w:val="center"/>
        <w:rPr>
          <w:b/>
          <w:i/>
        </w:rPr>
      </w:pPr>
      <w:r w:rsidRPr="00116514">
        <w:rPr>
          <w:b/>
          <w:i/>
        </w:rPr>
        <w:t>(Посада, прізвище, ініціали, підпис уповноваженої особи учасника)</w:t>
      </w:r>
    </w:p>
    <w:p w:rsidR="00356260" w:rsidRPr="00116514" w:rsidRDefault="00356260" w:rsidP="00356260">
      <w:pPr>
        <w:pageBreakBefore/>
        <w:ind w:left="6804"/>
        <w:outlineLvl w:val="0"/>
      </w:pPr>
      <w:r w:rsidRPr="00116514">
        <w:rPr>
          <w:b/>
        </w:rPr>
        <w:lastRenderedPageBreak/>
        <w:t>Додаток </w:t>
      </w:r>
      <w:r>
        <w:rPr>
          <w:b/>
        </w:rPr>
        <w:t>3.2</w:t>
      </w:r>
      <w:r w:rsidRPr="00116514">
        <w:rPr>
          <w:b/>
        </w:rPr>
        <w:br/>
      </w:r>
      <w:r w:rsidRPr="00116514">
        <w:t>до тендерної документації</w:t>
      </w:r>
    </w:p>
    <w:p w:rsidR="00356260" w:rsidRPr="00116514" w:rsidRDefault="00356260" w:rsidP="00356260">
      <w:pPr>
        <w:widowControl w:val="0"/>
        <w:autoSpaceDE w:val="0"/>
        <w:autoSpaceDN w:val="0"/>
        <w:adjustRightInd w:val="0"/>
        <w:spacing w:before="480" w:after="240"/>
        <w:jc w:val="center"/>
        <w:rPr>
          <w:bCs/>
          <w:i/>
        </w:rPr>
      </w:pPr>
      <w:r w:rsidRPr="00116514">
        <w:rPr>
          <w:bCs/>
          <w:i/>
        </w:rPr>
        <w:t>НА БЛАНКУ УЧАСНИКА (за наявності)</w:t>
      </w:r>
    </w:p>
    <w:p w:rsidR="00356260" w:rsidRPr="00116514" w:rsidRDefault="00356260" w:rsidP="00356260">
      <w:pPr>
        <w:widowControl w:val="0"/>
        <w:autoSpaceDE w:val="0"/>
        <w:autoSpaceDN w:val="0"/>
        <w:adjustRightInd w:val="0"/>
        <w:spacing w:before="240" w:after="480"/>
        <w:jc w:val="center"/>
        <w:rPr>
          <w:b/>
          <w:bCs/>
        </w:rPr>
      </w:pPr>
      <w:r w:rsidRPr="00116514">
        <w:rPr>
          <w:b/>
          <w:bCs/>
        </w:rPr>
        <w:t xml:space="preserve">ДОВІДКА </w:t>
      </w:r>
      <w:r w:rsidRPr="00116514">
        <w:rPr>
          <w:b/>
          <w:bCs/>
        </w:rPr>
        <w:br/>
      </w:r>
      <w:r w:rsidRPr="00116514">
        <w:rPr>
          <w:b/>
        </w:rPr>
        <w:t xml:space="preserve">ПРО НАЯВНІСТЬ ПРАЦІВНИКІВ ВІДПОВІДНОЇ КВАЛІФІКАЦІЇ, </w:t>
      </w:r>
      <w:r w:rsidRPr="00116514">
        <w:rPr>
          <w:b/>
        </w:rPr>
        <w:br/>
        <w:t>ЯКІ МАЮТЬ НЕОБХІДНІ ЗНАННЯ ТА ДОСВІД</w:t>
      </w:r>
    </w:p>
    <w:p w:rsidR="00356260" w:rsidRDefault="00356260" w:rsidP="00356260">
      <w:pPr>
        <w:spacing w:before="120" w:after="120"/>
        <w:ind w:firstLine="709"/>
        <w:jc w:val="both"/>
      </w:pPr>
      <w:r w:rsidRPr="00116514">
        <w:rPr>
          <w:i/>
          <w:u w:val="single"/>
        </w:rPr>
        <w:t xml:space="preserve">     (найменування/ПІБ учасника)     </w:t>
      </w:r>
      <w:r w:rsidRPr="00116514">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p w:rsidR="00356260" w:rsidRDefault="00356260" w:rsidP="00356260">
      <w:pPr>
        <w:spacing w:before="120" w:after="12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992"/>
        <w:gridCol w:w="3017"/>
        <w:gridCol w:w="3016"/>
      </w:tblGrid>
      <w:tr w:rsidR="00356260" w:rsidTr="00DB3C16">
        <w:tc>
          <w:tcPr>
            <w:tcW w:w="611"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rPr>
                <w:color w:val="000000"/>
              </w:rPr>
            </w:pPr>
            <w:r>
              <w:rPr>
                <w:color w:val="000000"/>
              </w:rPr>
              <w:t>№ з/п</w:t>
            </w:r>
          </w:p>
        </w:tc>
        <w:tc>
          <w:tcPr>
            <w:tcW w:w="3175"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rPr>
                <w:color w:val="000000"/>
              </w:rPr>
            </w:pPr>
            <w:r>
              <w:rPr>
                <w:color w:val="000000"/>
              </w:rPr>
              <w:t>ПІБ</w:t>
            </w:r>
          </w:p>
        </w:tc>
        <w:tc>
          <w:tcPr>
            <w:tcW w:w="3175"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rPr>
                <w:color w:val="000000"/>
              </w:rPr>
            </w:pPr>
            <w:r>
              <w:rPr>
                <w:color w:val="000000"/>
              </w:rPr>
              <w:t>Посада</w:t>
            </w:r>
          </w:p>
        </w:tc>
        <w:tc>
          <w:tcPr>
            <w:tcW w:w="3176"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rPr>
                <w:color w:val="000000"/>
              </w:rPr>
            </w:pPr>
            <w:r>
              <w:rPr>
                <w:color w:val="000000"/>
              </w:rPr>
              <w:t>Стаж роботи</w:t>
            </w:r>
          </w:p>
        </w:tc>
      </w:tr>
      <w:tr w:rsidR="00356260" w:rsidTr="00DB3C16">
        <w:tc>
          <w:tcPr>
            <w:tcW w:w="611"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jc w:val="center"/>
              <w:rPr>
                <w:color w:val="000000"/>
              </w:rPr>
            </w:pPr>
          </w:p>
        </w:tc>
        <w:tc>
          <w:tcPr>
            <w:tcW w:w="3175"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3175"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3176"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r>
      <w:tr w:rsidR="00356260" w:rsidTr="00DB3C16">
        <w:tc>
          <w:tcPr>
            <w:tcW w:w="611"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jc w:val="center"/>
              <w:rPr>
                <w:color w:val="000000"/>
              </w:rPr>
            </w:pPr>
          </w:p>
        </w:tc>
        <w:tc>
          <w:tcPr>
            <w:tcW w:w="3175"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3175"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3176"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r>
    </w:tbl>
    <w:p w:rsidR="00356260" w:rsidRDefault="00356260" w:rsidP="00356260">
      <w:pPr>
        <w:spacing w:before="120" w:after="120"/>
        <w:ind w:firstLine="709"/>
        <w:jc w:val="both"/>
      </w:pPr>
    </w:p>
    <w:p w:rsidR="00356260" w:rsidRDefault="00356260" w:rsidP="00356260">
      <w:pPr>
        <w:spacing w:before="120" w:after="120"/>
        <w:ind w:firstLine="709"/>
        <w:jc w:val="both"/>
      </w:pPr>
    </w:p>
    <w:p w:rsidR="00356260" w:rsidRPr="00116514" w:rsidRDefault="00356260" w:rsidP="00356260">
      <w:pPr>
        <w:spacing w:before="120" w:after="120"/>
        <w:ind w:firstLine="709"/>
        <w:jc w:val="both"/>
      </w:pPr>
    </w:p>
    <w:p w:rsidR="00356260" w:rsidRPr="00116514" w:rsidRDefault="00356260" w:rsidP="00356260">
      <w:pPr>
        <w:pBdr>
          <w:top w:val="single" w:sz="4" w:space="1" w:color="auto"/>
        </w:pBdr>
        <w:spacing w:before="120" w:after="120"/>
        <w:jc w:val="center"/>
        <w:rPr>
          <w:b/>
          <w:i/>
        </w:rPr>
      </w:pPr>
      <w:r w:rsidRPr="00116514">
        <w:rPr>
          <w:b/>
          <w:i/>
        </w:rPr>
        <w:t>(Посада, прізвище, ініціали, підпис уповноваженої особи учасника)</w:t>
      </w:r>
    </w:p>
    <w:p w:rsidR="00356260" w:rsidRPr="005E27BA" w:rsidRDefault="00356260" w:rsidP="00356260">
      <w:pPr>
        <w:pageBreakBefore/>
        <w:ind w:left="6804"/>
        <w:outlineLvl w:val="0"/>
      </w:pPr>
      <w:r w:rsidRPr="005E27BA">
        <w:rPr>
          <w:b/>
        </w:rPr>
        <w:lastRenderedPageBreak/>
        <w:t>Додаток </w:t>
      </w:r>
      <w:r>
        <w:rPr>
          <w:b/>
        </w:rPr>
        <w:t>3.3</w:t>
      </w:r>
      <w:r w:rsidRPr="005E27BA">
        <w:rPr>
          <w:b/>
        </w:rPr>
        <w:br/>
      </w:r>
      <w:r w:rsidRPr="005E27BA">
        <w:t>до тендерної документації</w:t>
      </w:r>
    </w:p>
    <w:p w:rsidR="00356260" w:rsidRPr="005E27BA" w:rsidRDefault="00356260" w:rsidP="00356260">
      <w:pPr>
        <w:widowControl w:val="0"/>
        <w:autoSpaceDE w:val="0"/>
        <w:autoSpaceDN w:val="0"/>
        <w:adjustRightInd w:val="0"/>
        <w:spacing w:before="480" w:after="240"/>
        <w:jc w:val="center"/>
        <w:rPr>
          <w:bCs/>
          <w:i/>
        </w:rPr>
      </w:pPr>
      <w:r w:rsidRPr="005E27BA">
        <w:rPr>
          <w:bCs/>
          <w:i/>
        </w:rPr>
        <w:t>НА БЛАНКУ УЧАСНИКА (за наявності)</w:t>
      </w:r>
    </w:p>
    <w:p w:rsidR="00356260" w:rsidRPr="005E27BA" w:rsidRDefault="00356260" w:rsidP="00356260">
      <w:pPr>
        <w:widowControl w:val="0"/>
        <w:autoSpaceDE w:val="0"/>
        <w:autoSpaceDN w:val="0"/>
        <w:adjustRightInd w:val="0"/>
        <w:spacing w:before="240" w:after="480"/>
        <w:jc w:val="center"/>
        <w:rPr>
          <w:b/>
          <w:bCs/>
        </w:rPr>
      </w:pPr>
      <w:r w:rsidRPr="005E27BA">
        <w:rPr>
          <w:b/>
          <w:bCs/>
        </w:rPr>
        <w:t xml:space="preserve">ДОВІДКА </w:t>
      </w:r>
      <w:r w:rsidRPr="005E27BA">
        <w:rPr>
          <w:b/>
          <w:bCs/>
        </w:rPr>
        <w:br/>
        <w:t xml:space="preserve">ПРО НАЯВНІСТЬ ДОСВІДУ ВИКОНАННЯ АНАЛОГІЧНОГО </w:t>
      </w:r>
      <w:r w:rsidRPr="005E27BA">
        <w:rPr>
          <w:b/>
          <w:color w:val="000000"/>
        </w:rPr>
        <w:t xml:space="preserve">(АНАЛОГІЧНИХ) </w:t>
      </w:r>
      <w:r>
        <w:rPr>
          <w:b/>
          <w:color w:val="000000"/>
        </w:rPr>
        <w:br/>
      </w:r>
      <w:r w:rsidRPr="005E27BA">
        <w:rPr>
          <w:b/>
          <w:color w:val="000000"/>
        </w:rPr>
        <w:t>ЗА ПРЕДМЕТОМ ЗАКУПІВЛІ</w:t>
      </w:r>
      <w:r w:rsidRPr="005E27BA">
        <w:rPr>
          <w:b/>
          <w:bCs/>
        </w:rPr>
        <w:t xml:space="preserve"> </w:t>
      </w:r>
      <w:r w:rsidRPr="005E27BA">
        <w:rPr>
          <w:b/>
          <w:color w:val="000000"/>
        </w:rPr>
        <w:t>ДОГОВОРУ (ДОГОВОРІВ)</w:t>
      </w:r>
    </w:p>
    <w:p w:rsidR="00356260" w:rsidRDefault="00356260" w:rsidP="00356260">
      <w:pPr>
        <w:spacing w:before="120" w:after="120"/>
        <w:ind w:firstLine="709"/>
        <w:jc w:val="both"/>
      </w:pPr>
      <w:r w:rsidRPr="005E27BA">
        <w:rPr>
          <w:i/>
          <w:u w:val="single"/>
        </w:rPr>
        <w:t xml:space="preserve">     (найменування/ПІБ учасника)     </w:t>
      </w:r>
      <w:r w:rsidRPr="005E27BA">
        <w:t xml:space="preserve">, на виконання вимог статті 16 Закону України </w:t>
      </w:r>
      <w:r>
        <w:br/>
      </w:r>
      <w:r w:rsidRPr="005E27BA">
        <w:t>«Про публічні закупівлі» та тендерної документації, повідомляє про наявність досвіду виконання аналогічного</w:t>
      </w:r>
      <w:r>
        <w:t>(</w:t>
      </w:r>
      <w:proofErr w:type="spellStart"/>
      <w:r>
        <w:t>их</w:t>
      </w:r>
      <w:proofErr w:type="spellEnd"/>
      <w:r>
        <w:t>)</w:t>
      </w:r>
      <w:r w:rsidRPr="005E27BA">
        <w:t xml:space="preserve"> договору</w:t>
      </w:r>
      <w:r>
        <w:t>(</w:t>
      </w:r>
      <w:proofErr w:type="spellStart"/>
      <w:r>
        <w:t>ів</w:t>
      </w:r>
      <w:proofErr w:type="spellEnd"/>
      <w:r>
        <w:t>)</w:t>
      </w:r>
      <w:r w:rsidRPr="005E27BA">
        <w:t>, а саме:</w:t>
      </w:r>
    </w:p>
    <w:p w:rsidR="00356260" w:rsidRDefault="00356260" w:rsidP="00356260">
      <w:pPr>
        <w:spacing w:before="120" w:after="12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834"/>
        <w:gridCol w:w="2995"/>
        <w:gridCol w:w="2034"/>
        <w:gridCol w:w="2173"/>
      </w:tblGrid>
      <w:tr w:rsidR="00356260" w:rsidTr="00DB3C16">
        <w:tc>
          <w:tcPr>
            <w:tcW w:w="603"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rPr>
                <w:color w:val="000000"/>
              </w:rPr>
            </w:pPr>
            <w:r>
              <w:rPr>
                <w:color w:val="000000"/>
              </w:rPr>
              <w:t>№ з/п</w:t>
            </w:r>
          </w:p>
        </w:tc>
        <w:tc>
          <w:tcPr>
            <w:tcW w:w="1906"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rPr>
                <w:color w:val="000000"/>
              </w:rPr>
            </w:pPr>
            <w:r>
              <w:rPr>
                <w:color w:val="000000"/>
              </w:rPr>
              <w:t>Дата та номер договору</w:t>
            </w:r>
          </w:p>
        </w:tc>
        <w:tc>
          <w:tcPr>
            <w:tcW w:w="3128"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rPr>
                <w:color w:val="000000"/>
              </w:rPr>
            </w:pPr>
            <w:r>
              <w:rPr>
                <w:color w:val="000000"/>
              </w:rPr>
              <w:t>Найменування замовника</w:t>
            </w:r>
          </w:p>
        </w:tc>
        <w:tc>
          <w:tcPr>
            <w:tcW w:w="2126"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rPr>
                <w:color w:val="000000"/>
              </w:rPr>
            </w:pPr>
            <w:r>
              <w:rPr>
                <w:color w:val="000000"/>
              </w:rPr>
              <w:t>Предмет договору</w:t>
            </w:r>
          </w:p>
        </w:tc>
        <w:tc>
          <w:tcPr>
            <w:tcW w:w="2268" w:type="dxa"/>
            <w:tcBorders>
              <w:top w:val="single" w:sz="4" w:space="0" w:color="auto"/>
              <w:left w:val="single" w:sz="4" w:space="0" w:color="auto"/>
              <w:bottom w:val="single" w:sz="4" w:space="0" w:color="auto"/>
              <w:right w:val="single" w:sz="4" w:space="0" w:color="auto"/>
            </w:tcBorders>
            <w:hideMark/>
          </w:tcPr>
          <w:p w:rsidR="00356260" w:rsidRDefault="00356260" w:rsidP="00DB3C16">
            <w:pPr>
              <w:jc w:val="center"/>
              <w:rPr>
                <w:color w:val="000000"/>
              </w:rPr>
            </w:pPr>
            <w:r>
              <w:rPr>
                <w:color w:val="000000"/>
              </w:rPr>
              <w:t>Загальний строк дії договору</w:t>
            </w:r>
          </w:p>
        </w:tc>
      </w:tr>
      <w:tr w:rsidR="00356260" w:rsidTr="00DB3C16">
        <w:tc>
          <w:tcPr>
            <w:tcW w:w="603"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jc w:val="center"/>
              <w:rPr>
                <w:color w:val="000000"/>
              </w:rPr>
            </w:pPr>
          </w:p>
        </w:tc>
        <w:tc>
          <w:tcPr>
            <w:tcW w:w="1906"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3128"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2126"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2268"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r>
      <w:tr w:rsidR="00356260" w:rsidTr="00DB3C16">
        <w:tc>
          <w:tcPr>
            <w:tcW w:w="603"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jc w:val="center"/>
              <w:rPr>
                <w:color w:val="000000"/>
              </w:rPr>
            </w:pPr>
          </w:p>
        </w:tc>
        <w:tc>
          <w:tcPr>
            <w:tcW w:w="1906"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3128"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2126"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c>
          <w:tcPr>
            <w:tcW w:w="2268" w:type="dxa"/>
            <w:tcBorders>
              <w:top w:val="single" w:sz="4" w:space="0" w:color="auto"/>
              <w:left w:val="single" w:sz="4" w:space="0" w:color="auto"/>
              <w:bottom w:val="single" w:sz="4" w:space="0" w:color="auto"/>
              <w:right w:val="single" w:sz="4" w:space="0" w:color="auto"/>
            </w:tcBorders>
          </w:tcPr>
          <w:p w:rsidR="00356260" w:rsidRDefault="00356260" w:rsidP="00DB3C16">
            <w:pPr>
              <w:spacing w:after="120"/>
              <w:rPr>
                <w:color w:val="000000"/>
              </w:rPr>
            </w:pPr>
          </w:p>
        </w:tc>
      </w:tr>
    </w:tbl>
    <w:p w:rsidR="00356260" w:rsidRDefault="00356260" w:rsidP="00356260">
      <w:pPr>
        <w:spacing w:before="120" w:after="120"/>
        <w:ind w:firstLine="709"/>
        <w:jc w:val="both"/>
      </w:pPr>
    </w:p>
    <w:p w:rsidR="00356260" w:rsidRPr="005E27BA" w:rsidRDefault="00356260" w:rsidP="00356260">
      <w:pPr>
        <w:spacing w:before="120" w:after="120"/>
        <w:ind w:firstLine="709"/>
        <w:jc w:val="both"/>
      </w:pPr>
    </w:p>
    <w:p w:rsidR="00356260" w:rsidRPr="005E27BA" w:rsidRDefault="00356260" w:rsidP="00356260">
      <w:pPr>
        <w:spacing w:before="120" w:after="120"/>
        <w:ind w:firstLine="709"/>
        <w:jc w:val="both"/>
      </w:pPr>
    </w:p>
    <w:p w:rsidR="00356260" w:rsidRPr="005E27BA" w:rsidRDefault="00356260" w:rsidP="00356260">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356260" w:rsidRPr="005E27BA" w:rsidRDefault="00356260" w:rsidP="00356260">
      <w:pPr>
        <w:suppressAutoHyphens/>
        <w:spacing w:line="100" w:lineRule="atLeast"/>
        <w:ind w:left="5780" w:right="141" w:firstLine="700"/>
        <w:jc w:val="right"/>
        <w:rPr>
          <w:b/>
          <w:color w:val="000000"/>
          <w:lang w:eastAsia="ar-SA"/>
        </w:rPr>
      </w:pPr>
    </w:p>
    <w:p w:rsidR="00356260" w:rsidRPr="00D1175C" w:rsidRDefault="00356260" w:rsidP="00356260">
      <w:pPr>
        <w:pageBreakBefore/>
        <w:ind w:left="6804"/>
        <w:outlineLvl w:val="0"/>
      </w:pPr>
      <w:r w:rsidRPr="00D1175C">
        <w:rPr>
          <w:b/>
        </w:rPr>
        <w:lastRenderedPageBreak/>
        <w:t xml:space="preserve">Додаток 3.4 </w:t>
      </w:r>
      <w:r w:rsidRPr="00D1175C">
        <w:rPr>
          <w:b/>
        </w:rPr>
        <w:br/>
      </w:r>
      <w:r w:rsidRPr="00D1175C">
        <w:t>до тендерної документації</w:t>
      </w:r>
    </w:p>
    <w:p w:rsidR="00356260" w:rsidRPr="00964DF3" w:rsidRDefault="00356260" w:rsidP="00356260">
      <w:pPr>
        <w:widowControl w:val="0"/>
        <w:autoSpaceDE w:val="0"/>
        <w:autoSpaceDN w:val="0"/>
        <w:adjustRightInd w:val="0"/>
        <w:spacing w:before="480" w:after="240"/>
        <w:jc w:val="center"/>
        <w:rPr>
          <w:bCs/>
          <w:i/>
        </w:rPr>
      </w:pPr>
      <w:r w:rsidRPr="00964DF3">
        <w:rPr>
          <w:bCs/>
          <w:i/>
        </w:rPr>
        <w:t>НА БЛАНКУ УЧАСНИКА (за наявності)</w:t>
      </w:r>
    </w:p>
    <w:p w:rsidR="00356260" w:rsidRPr="00964DF3" w:rsidRDefault="00356260" w:rsidP="00356260">
      <w:pPr>
        <w:widowControl w:val="0"/>
        <w:autoSpaceDE w:val="0"/>
        <w:autoSpaceDN w:val="0"/>
        <w:adjustRightInd w:val="0"/>
        <w:spacing w:before="240" w:after="480"/>
        <w:jc w:val="center"/>
        <w:rPr>
          <w:b/>
          <w:bCs/>
        </w:rPr>
      </w:pPr>
      <w:r w:rsidRPr="00964DF3">
        <w:rPr>
          <w:b/>
          <w:bCs/>
        </w:rPr>
        <w:t xml:space="preserve">ДОВІДКА </w:t>
      </w:r>
      <w:r w:rsidRPr="00964DF3">
        <w:rPr>
          <w:b/>
          <w:bCs/>
        </w:rPr>
        <w:br/>
        <w:t xml:space="preserve">ПРО КОЖНОГО СУБ’ЄКТА ГОСПОДАРЮВАННЯ, </w:t>
      </w:r>
      <w:r w:rsidRPr="00964DF3">
        <w:rPr>
          <w:b/>
          <w:bCs/>
        </w:rPr>
        <w:br/>
        <w:t>ЯКОГО УЧАСНИК ПЛАНУЄ ЗАЛУЧИТИ В ЯКОСТІ СПІВВИКОНАВЦЯ</w:t>
      </w:r>
    </w:p>
    <w:p w:rsidR="00356260" w:rsidRPr="00964DF3" w:rsidRDefault="00356260" w:rsidP="00356260">
      <w:pPr>
        <w:spacing w:before="120" w:after="120"/>
        <w:ind w:firstLine="709"/>
        <w:jc w:val="both"/>
        <w:rPr>
          <w:shd w:val="clear" w:color="auto" w:fill="FFFFFF"/>
        </w:rPr>
      </w:pPr>
      <w:r w:rsidRPr="00964DF3">
        <w:rPr>
          <w:i/>
          <w:u w:val="single"/>
        </w:rPr>
        <w:t xml:space="preserve">     (найменування учасника)     </w:t>
      </w:r>
      <w:r w:rsidRPr="00964DF3">
        <w:t xml:space="preserve">, на виконання вимог статті 22 Закону України </w:t>
      </w:r>
      <w:r w:rsidRPr="00964DF3">
        <w:br/>
        <w:t xml:space="preserve">«Про публічні закупівлі» та тендерної документації, повідомляє про </w:t>
      </w:r>
      <w:r w:rsidRPr="00964DF3">
        <w:rPr>
          <w:u w:val="single"/>
        </w:rPr>
        <w:t>залучення/незалучення</w:t>
      </w:r>
      <w:r w:rsidRPr="00964DF3">
        <w:t xml:space="preserve"> (</w:t>
      </w:r>
      <w:r w:rsidRPr="00964DF3">
        <w:rPr>
          <w:i/>
        </w:rPr>
        <w:t>зазначити необхідне</w:t>
      </w:r>
      <w:r w:rsidRPr="00964DF3">
        <w:t xml:space="preserve">) </w:t>
      </w:r>
      <w:r w:rsidRPr="00964DF3">
        <w:rPr>
          <w:shd w:val="clear" w:color="auto" w:fill="FFFFFF"/>
        </w:rPr>
        <w:t>співвиконавця в обсязі не менше ніж 20 відсотків від вартості договору про закупівлю.</w:t>
      </w:r>
    </w:p>
    <w:p w:rsidR="00356260" w:rsidRPr="00964DF3" w:rsidRDefault="00356260" w:rsidP="00356260">
      <w:pPr>
        <w:spacing w:before="120" w:after="120"/>
        <w:ind w:firstLine="709"/>
        <w:jc w:val="both"/>
        <w:rPr>
          <w:shd w:val="clear" w:color="auto" w:fill="FFFFFF"/>
        </w:rPr>
      </w:pPr>
    </w:p>
    <w:p w:rsidR="00356260" w:rsidRPr="00964DF3" w:rsidRDefault="00356260" w:rsidP="00356260">
      <w:pPr>
        <w:spacing w:before="120" w:after="120"/>
        <w:jc w:val="both"/>
      </w:pPr>
      <w:r w:rsidRPr="00964DF3">
        <w:t>(</w:t>
      </w:r>
      <w:r w:rsidRPr="00964DF3">
        <w:rPr>
          <w:i/>
        </w:rPr>
        <w:t xml:space="preserve">У разі залучення </w:t>
      </w:r>
      <w:r w:rsidRPr="00964DF3">
        <w:rPr>
          <w:i/>
          <w:shd w:val="clear" w:color="auto" w:fill="FFFFFF"/>
        </w:rPr>
        <w:t xml:space="preserve">співвиконавця в обсязі не менше ніж 20 відсотків </w:t>
      </w:r>
      <w:r w:rsidRPr="00964DF3">
        <w:rPr>
          <w:i/>
          <w:shd w:val="clear" w:color="auto" w:fill="FFFFFF"/>
        </w:rPr>
        <w:br/>
        <w:t>від вартості договору про закупівлю надати інформацію згідно з таблицею, наведеною нижче</w:t>
      </w:r>
      <w:r w:rsidRPr="00964DF3">
        <w:rPr>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180"/>
        <w:gridCol w:w="2312"/>
        <w:gridCol w:w="2180"/>
        <w:gridCol w:w="2307"/>
      </w:tblGrid>
      <w:tr w:rsidR="00356260" w:rsidRPr="00964DF3" w:rsidTr="00DB3C16">
        <w:tc>
          <w:tcPr>
            <w:tcW w:w="557" w:type="dxa"/>
            <w:shd w:val="clear" w:color="auto" w:fill="auto"/>
          </w:tcPr>
          <w:p w:rsidR="00356260" w:rsidRPr="00964DF3" w:rsidRDefault="00356260" w:rsidP="00DB3C16">
            <w:pPr>
              <w:jc w:val="center"/>
            </w:pPr>
            <w:r w:rsidRPr="00964DF3">
              <w:t>№ з/п</w:t>
            </w:r>
          </w:p>
        </w:tc>
        <w:tc>
          <w:tcPr>
            <w:tcW w:w="2368" w:type="dxa"/>
            <w:shd w:val="clear" w:color="auto" w:fill="auto"/>
          </w:tcPr>
          <w:p w:rsidR="00356260" w:rsidRPr="00964DF3" w:rsidRDefault="00356260" w:rsidP="00DB3C16">
            <w:pPr>
              <w:jc w:val="center"/>
            </w:pPr>
            <w:r w:rsidRPr="00964DF3">
              <w:t xml:space="preserve">Повне найменування </w:t>
            </w:r>
            <w:r w:rsidRPr="00964DF3">
              <w:rPr>
                <w:shd w:val="clear" w:color="auto" w:fill="FFFFFF"/>
              </w:rPr>
              <w:t>співвиконавця</w:t>
            </w:r>
          </w:p>
        </w:tc>
        <w:tc>
          <w:tcPr>
            <w:tcW w:w="2368" w:type="dxa"/>
            <w:shd w:val="clear" w:color="auto" w:fill="auto"/>
          </w:tcPr>
          <w:p w:rsidR="00356260" w:rsidRPr="00964DF3" w:rsidRDefault="00356260" w:rsidP="00DB3C16">
            <w:pPr>
              <w:jc w:val="center"/>
            </w:pPr>
            <w:r w:rsidRPr="00964DF3">
              <w:t xml:space="preserve">Місцезнаходження </w:t>
            </w:r>
            <w:r w:rsidRPr="00964DF3">
              <w:rPr>
                <w:shd w:val="clear" w:color="auto" w:fill="FFFFFF"/>
              </w:rPr>
              <w:t>співвиконавця</w:t>
            </w:r>
          </w:p>
        </w:tc>
        <w:tc>
          <w:tcPr>
            <w:tcW w:w="2368" w:type="dxa"/>
            <w:shd w:val="clear" w:color="auto" w:fill="auto"/>
          </w:tcPr>
          <w:p w:rsidR="00356260" w:rsidRPr="00964DF3" w:rsidRDefault="00356260" w:rsidP="00DB3C16">
            <w:pPr>
              <w:jc w:val="center"/>
            </w:pPr>
            <w:r w:rsidRPr="00964DF3">
              <w:t xml:space="preserve">Вид робіт чи послуг, до яких планується залучити </w:t>
            </w:r>
            <w:r w:rsidRPr="00964DF3">
              <w:rPr>
                <w:shd w:val="clear" w:color="auto" w:fill="FFFFFF"/>
              </w:rPr>
              <w:t>співвиконавця</w:t>
            </w:r>
          </w:p>
        </w:tc>
        <w:tc>
          <w:tcPr>
            <w:tcW w:w="2545" w:type="dxa"/>
            <w:shd w:val="clear" w:color="auto" w:fill="auto"/>
          </w:tcPr>
          <w:p w:rsidR="00356260" w:rsidRPr="00964DF3" w:rsidRDefault="00356260" w:rsidP="00DB3C16">
            <w:pPr>
              <w:jc w:val="center"/>
            </w:pPr>
            <w:r w:rsidRPr="00964DF3">
              <w:t xml:space="preserve">Обсяг робіт чи послуг, до яких планується залучити </w:t>
            </w:r>
            <w:r w:rsidRPr="00964DF3">
              <w:rPr>
                <w:shd w:val="clear" w:color="auto" w:fill="FFFFFF"/>
              </w:rPr>
              <w:t>співвиконавця</w:t>
            </w:r>
          </w:p>
        </w:tc>
      </w:tr>
      <w:tr w:rsidR="00356260" w:rsidRPr="00964DF3" w:rsidTr="00DB3C16">
        <w:tc>
          <w:tcPr>
            <w:tcW w:w="557" w:type="dxa"/>
            <w:shd w:val="clear" w:color="auto" w:fill="auto"/>
          </w:tcPr>
          <w:p w:rsidR="00356260" w:rsidRPr="00964DF3" w:rsidRDefault="00356260" w:rsidP="00DB3C16">
            <w:pPr>
              <w:spacing w:after="120"/>
              <w:jc w:val="center"/>
            </w:pPr>
          </w:p>
        </w:tc>
        <w:tc>
          <w:tcPr>
            <w:tcW w:w="2368" w:type="dxa"/>
            <w:shd w:val="clear" w:color="auto" w:fill="auto"/>
          </w:tcPr>
          <w:p w:rsidR="00356260" w:rsidRPr="00964DF3" w:rsidRDefault="00356260" w:rsidP="00DB3C16">
            <w:pPr>
              <w:spacing w:after="120"/>
            </w:pPr>
          </w:p>
        </w:tc>
        <w:tc>
          <w:tcPr>
            <w:tcW w:w="2368" w:type="dxa"/>
            <w:shd w:val="clear" w:color="auto" w:fill="auto"/>
          </w:tcPr>
          <w:p w:rsidR="00356260" w:rsidRPr="00964DF3" w:rsidRDefault="00356260" w:rsidP="00DB3C16">
            <w:pPr>
              <w:spacing w:after="120"/>
            </w:pPr>
          </w:p>
        </w:tc>
        <w:tc>
          <w:tcPr>
            <w:tcW w:w="2368" w:type="dxa"/>
            <w:shd w:val="clear" w:color="auto" w:fill="auto"/>
          </w:tcPr>
          <w:p w:rsidR="00356260" w:rsidRPr="00964DF3" w:rsidRDefault="00356260" w:rsidP="00DB3C16">
            <w:pPr>
              <w:spacing w:after="120"/>
            </w:pPr>
          </w:p>
        </w:tc>
        <w:tc>
          <w:tcPr>
            <w:tcW w:w="2545" w:type="dxa"/>
            <w:shd w:val="clear" w:color="auto" w:fill="auto"/>
          </w:tcPr>
          <w:p w:rsidR="00356260" w:rsidRPr="00964DF3" w:rsidRDefault="00356260" w:rsidP="00DB3C16">
            <w:pPr>
              <w:spacing w:after="120"/>
              <w:jc w:val="center"/>
            </w:pPr>
          </w:p>
        </w:tc>
      </w:tr>
      <w:tr w:rsidR="00356260" w:rsidRPr="00964DF3" w:rsidTr="00DB3C16">
        <w:tc>
          <w:tcPr>
            <w:tcW w:w="557" w:type="dxa"/>
            <w:shd w:val="clear" w:color="auto" w:fill="auto"/>
          </w:tcPr>
          <w:p w:rsidR="00356260" w:rsidRPr="00964DF3" w:rsidRDefault="00356260" w:rsidP="00DB3C16">
            <w:pPr>
              <w:spacing w:after="120"/>
              <w:jc w:val="center"/>
            </w:pPr>
          </w:p>
        </w:tc>
        <w:tc>
          <w:tcPr>
            <w:tcW w:w="2368" w:type="dxa"/>
            <w:shd w:val="clear" w:color="auto" w:fill="auto"/>
          </w:tcPr>
          <w:p w:rsidR="00356260" w:rsidRPr="00964DF3" w:rsidRDefault="00356260" w:rsidP="00DB3C16">
            <w:pPr>
              <w:spacing w:after="120"/>
            </w:pPr>
          </w:p>
        </w:tc>
        <w:tc>
          <w:tcPr>
            <w:tcW w:w="2368" w:type="dxa"/>
            <w:shd w:val="clear" w:color="auto" w:fill="auto"/>
          </w:tcPr>
          <w:p w:rsidR="00356260" w:rsidRPr="00964DF3" w:rsidRDefault="00356260" w:rsidP="00DB3C16">
            <w:pPr>
              <w:spacing w:after="120"/>
            </w:pPr>
          </w:p>
        </w:tc>
        <w:tc>
          <w:tcPr>
            <w:tcW w:w="2368" w:type="dxa"/>
            <w:shd w:val="clear" w:color="auto" w:fill="auto"/>
          </w:tcPr>
          <w:p w:rsidR="00356260" w:rsidRPr="00964DF3" w:rsidRDefault="00356260" w:rsidP="00DB3C16">
            <w:pPr>
              <w:spacing w:after="120"/>
            </w:pPr>
          </w:p>
        </w:tc>
        <w:tc>
          <w:tcPr>
            <w:tcW w:w="2545" w:type="dxa"/>
            <w:shd w:val="clear" w:color="auto" w:fill="auto"/>
          </w:tcPr>
          <w:p w:rsidR="00356260" w:rsidRPr="00964DF3" w:rsidRDefault="00356260" w:rsidP="00DB3C16">
            <w:pPr>
              <w:spacing w:after="120"/>
              <w:jc w:val="center"/>
            </w:pPr>
          </w:p>
        </w:tc>
      </w:tr>
    </w:tbl>
    <w:p w:rsidR="00356260" w:rsidRPr="00964DF3" w:rsidRDefault="00356260" w:rsidP="00356260">
      <w:pPr>
        <w:spacing w:before="120" w:after="120"/>
        <w:ind w:firstLine="709"/>
        <w:jc w:val="both"/>
      </w:pPr>
    </w:p>
    <w:p w:rsidR="00356260" w:rsidRPr="00964DF3" w:rsidRDefault="00356260" w:rsidP="00356260">
      <w:pPr>
        <w:spacing w:before="120" w:after="120"/>
        <w:ind w:firstLine="709"/>
        <w:jc w:val="both"/>
      </w:pPr>
    </w:p>
    <w:p w:rsidR="00356260" w:rsidRPr="00964DF3" w:rsidRDefault="00356260" w:rsidP="00356260">
      <w:pPr>
        <w:spacing w:before="120" w:after="120"/>
        <w:ind w:firstLine="709"/>
        <w:jc w:val="both"/>
      </w:pPr>
    </w:p>
    <w:p w:rsidR="00356260" w:rsidRPr="00964DF3" w:rsidRDefault="00356260" w:rsidP="00356260">
      <w:pPr>
        <w:pBdr>
          <w:top w:val="single" w:sz="4" w:space="1" w:color="auto"/>
        </w:pBdr>
        <w:spacing w:before="120" w:after="120"/>
        <w:jc w:val="center"/>
        <w:rPr>
          <w:b/>
          <w:i/>
        </w:rPr>
      </w:pPr>
      <w:r w:rsidRPr="00964DF3">
        <w:rPr>
          <w:b/>
          <w:i/>
        </w:rPr>
        <w:t>(Посада, прізвище, ініціали, підпис уповноваженої особи учасника)</w:t>
      </w:r>
    </w:p>
    <w:p w:rsidR="00356260" w:rsidRPr="00964DF3" w:rsidRDefault="00356260" w:rsidP="00356260">
      <w:pPr>
        <w:suppressAutoHyphens/>
        <w:spacing w:line="100" w:lineRule="atLeast"/>
        <w:ind w:left="5780" w:right="141" w:firstLine="700"/>
        <w:jc w:val="right"/>
        <w:rPr>
          <w:b/>
          <w:lang w:eastAsia="ar-SA"/>
        </w:rPr>
      </w:pPr>
    </w:p>
    <w:p w:rsidR="00356260" w:rsidRPr="00964DF3" w:rsidRDefault="00356260" w:rsidP="00356260">
      <w:pPr>
        <w:suppressAutoHyphens/>
        <w:spacing w:line="100" w:lineRule="atLeast"/>
        <w:ind w:left="5780" w:right="141" w:firstLine="700"/>
        <w:jc w:val="right"/>
        <w:rPr>
          <w:b/>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Pr="005E27BA" w:rsidRDefault="00356260" w:rsidP="00356260">
      <w:pPr>
        <w:suppressAutoHyphens/>
        <w:spacing w:line="100" w:lineRule="atLeast"/>
        <w:ind w:left="5780" w:right="141" w:firstLine="700"/>
        <w:jc w:val="right"/>
        <w:rPr>
          <w:b/>
          <w:color w:val="000000"/>
          <w:lang w:eastAsia="ar-SA"/>
        </w:rPr>
      </w:pPr>
    </w:p>
    <w:p w:rsidR="00356260" w:rsidRPr="005E27BA" w:rsidRDefault="00356260" w:rsidP="00356260">
      <w:pPr>
        <w:suppressAutoHyphens/>
        <w:spacing w:line="100" w:lineRule="atLeast"/>
        <w:ind w:left="5780" w:right="141" w:firstLine="700"/>
        <w:jc w:val="right"/>
        <w:rPr>
          <w:b/>
          <w:color w:val="000000"/>
          <w:lang w:eastAsia="ar-SA"/>
        </w:rPr>
      </w:pPr>
    </w:p>
    <w:p w:rsidR="00356260" w:rsidRPr="005E27BA"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Default="00356260" w:rsidP="00356260">
      <w:pPr>
        <w:suppressAutoHyphens/>
        <w:spacing w:line="100" w:lineRule="atLeast"/>
        <w:ind w:left="5780" w:right="141" w:firstLine="700"/>
        <w:jc w:val="right"/>
        <w:rPr>
          <w:b/>
          <w:color w:val="000000"/>
          <w:lang w:eastAsia="ar-SA"/>
        </w:rPr>
      </w:pPr>
    </w:p>
    <w:p w:rsidR="00356260" w:rsidRPr="005E27BA" w:rsidRDefault="00356260" w:rsidP="00356260">
      <w:pPr>
        <w:suppressAutoHyphens/>
        <w:spacing w:line="100" w:lineRule="atLeast"/>
        <w:ind w:left="5780" w:right="141" w:firstLine="700"/>
        <w:jc w:val="right"/>
        <w:rPr>
          <w:b/>
          <w:color w:val="000000"/>
          <w:lang w:eastAsia="ar-SA"/>
        </w:rPr>
      </w:pPr>
    </w:p>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p w:rsidR="00356260" w:rsidRDefault="00356260"/>
    <w:sectPr w:rsidR="00356260" w:rsidSect="005F22AD">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CC0"/>
    <w:multiLevelType w:val="hybridMultilevel"/>
    <w:tmpl w:val="C4825892"/>
    <w:lvl w:ilvl="0" w:tplc="4D9CC39A">
      <w:start w:val="1"/>
      <w:numFmt w:val="decimal"/>
      <w:pStyle w:val="a"/>
      <w:lvlText w:val="%1)"/>
      <w:lvlJc w:val="left"/>
      <w:pPr>
        <w:ind w:left="928"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1" w15:restartNumberingAfterBreak="0">
    <w:nsid w:val="2CC52B10"/>
    <w:multiLevelType w:val="multilevel"/>
    <w:tmpl w:val="80F25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3A062D05"/>
    <w:multiLevelType w:val="multilevel"/>
    <w:tmpl w:val="9E6A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D8355B"/>
    <w:multiLevelType w:val="multilevel"/>
    <w:tmpl w:val="459A9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D572FA"/>
    <w:multiLevelType w:val="multilevel"/>
    <w:tmpl w:val="50206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80"/>
    <w:rsid w:val="000C29AC"/>
    <w:rsid w:val="00356260"/>
    <w:rsid w:val="00495380"/>
    <w:rsid w:val="005F22AD"/>
    <w:rsid w:val="0092079F"/>
    <w:rsid w:val="00DF4A99"/>
    <w:rsid w:val="00E71C4A"/>
    <w:rsid w:val="00F65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9372"/>
  <w15:chartTrackingRefBased/>
  <w15:docId w15:val="{CB828881-F1E6-485C-8242-F2AA5AE6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538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номер+)"/>
    <w:basedOn w:val="a0"/>
    <w:uiPriority w:val="99"/>
    <w:qFormat/>
    <w:rsid w:val="00495380"/>
    <w:pPr>
      <w:numPr>
        <w:numId w:val="1"/>
      </w:numPr>
      <w:spacing w:after="120"/>
      <w:ind w:left="360"/>
      <w:jc w:val="both"/>
    </w:pPr>
  </w:style>
  <w:style w:type="paragraph" w:styleId="a4">
    <w:name w:val="List Paragraph"/>
    <w:aliases w:val="название табл/рис,Список уровня 2,Bullet Number,Bullet 1,Use Case List Paragraph,lp1,List Paragraph1,lp11,List Paragraph11,EBRD List,заголовок 1.1,Chapter10,AC List 01,Текст таблицы,Elenco Normale"/>
    <w:basedOn w:val="a0"/>
    <w:link w:val="a5"/>
    <w:uiPriority w:val="99"/>
    <w:qFormat/>
    <w:rsid w:val="00495380"/>
    <w:pPr>
      <w:ind w:left="708"/>
    </w:p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4"/>
    <w:uiPriority w:val="99"/>
    <w:qFormat/>
    <w:rsid w:val="00495380"/>
    <w:rPr>
      <w:rFonts w:ascii="Times New Roman" w:eastAsia="Times New Roman" w:hAnsi="Times New Roman" w:cs="Times New Roman"/>
      <w:sz w:val="24"/>
      <w:szCs w:val="24"/>
      <w:lang w:eastAsia="ru-RU"/>
    </w:rPr>
  </w:style>
  <w:style w:type="character" w:styleId="a6">
    <w:name w:val="Hyperlink"/>
    <w:uiPriority w:val="99"/>
    <w:unhideWhenUsed/>
    <w:rsid w:val="00495380"/>
    <w:rPr>
      <w:color w:val="0000FF"/>
      <w:u w:val="single"/>
    </w:rPr>
  </w:style>
  <w:style w:type="paragraph" w:customStyle="1" w:styleId="3f3f3f3f3f-123f3f-3f3f3f">
    <w:name w:val="С3fт3fи3fл3fь3f -12п3fт3f-у3fк3fр3f"/>
    <w:basedOn w:val="a0"/>
    <w:uiPriority w:val="99"/>
    <w:qFormat/>
    <w:rsid w:val="00495380"/>
    <w:pPr>
      <w:suppressAutoHyphens/>
      <w:ind w:firstLine="720"/>
      <w:jc w:val="both"/>
      <w:textAlignment w:val="baseline"/>
    </w:pPr>
    <w:rPr>
      <w:rFonts w:ascii="Calibri" w:hAnsi="Calibri" w:cs="Calibri"/>
      <w:color w:val="00000A"/>
      <w:kern w:val="2"/>
      <w:lang w:val="en-US" w:eastAsia="zh-CN"/>
    </w:rPr>
  </w:style>
  <w:style w:type="paragraph" w:styleId="a7">
    <w:name w:val="Balloon Text"/>
    <w:basedOn w:val="a0"/>
    <w:link w:val="a8"/>
    <w:uiPriority w:val="99"/>
    <w:semiHidden/>
    <w:unhideWhenUsed/>
    <w:rsid w:val="005F22AD"/>
    <w:rPr>
      <w:rFonts w:ascii="Segoe UI" w:hAnsi="Segoe UI" w:cs="Segoe UI"/>
      <w:sz w:val="18"/>
      <w:szCs w:val="18"/>
    </w:rPr>
  </w:style>
  <w:style w:type="character" w:customStyle="1" w:styleId="a8">
    <w:name w:val="Текст выноски Знак"/>
    <w:basedOn w:val="a1"/>
    <w:link w:val="a7"/>
    <w:uiPriority w:val="99"/>
    <w:semiHidden/>
    <w:rsid w:val="005F22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10228</Words>
  <Characters>5830</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7</cp:revision>
  <cp:lastPrinted>2023-05-26T06:45:00Z</cp:lastPrinted>
  <dcterms:created xsi:type="dcterms:W3CDTF">2023-05-25T13:27:00Z</dcterms:created>
  <dcterms:modified xsi:type="dcterms:W3CDTF">2023-05-26T06:46:00Z</dcterms:modified>
</cp:coreProperties>
</file>