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49449953"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ED2626">
        <w:rPr>
          <w:rFonts w:ascii="Times New Roman" w:eastAsia="Times New Roman" w:hAnsi="Times New Roman" w:cs="Times New Roman"/>
          <w:sz w:val="28"/>
          <w:szCs w:val="28"/>
          <w:lang w:val="uk-UA" w:eastAsia="ru-RU"/>
        </w:rPr>
        <w:t xml:space="preserve">від </w:t>
      </w:r>
      <w:r w:rsidR="006D21A3" w:rsidRPr="006D21A3">
        <w:rPr>
          <w:rFonts w:ascii="Times New Roman" w:eastAsia="Times New Roman" w:hAnsi="Times New Roman" w:cs="Times New Roman"/>
          <w:sz w:val="28"/>
          <w:szCs w:val="28"/>
          <w:lang w:val="uk-UA" w:eastAsia="ru-RU"/>
        </w:rPr>
        <w:t>03</w:t>
      </w:r>
      <w:r w:rsidR="00A81BDA" w:rsidRPr="006D21A3">
        <w:rPr>
          <w:rFonts w:ascii="Times New Roman" w:eastAsia="Times New Roman" w:hAnsi="Times New Roman" w:cs="Times New Roman"/>
          <w:sz w:val="28"/>
          <w:szCs w:val="28"/>
          <w:lang w:val="uk-UA" w:eastAsia="ru-RU"/>
        </w:rPr>
        <w:t>.</w:t>
      </w:r>
      <w:r w:rsidR="006D21A3" w:rsidRPr="006D21A3">
        <w:rPr>
          <w:rFonts w:ascii="Times New Roman" w:eastAsia="Times New Roman" w:hAnsi="Times New Roman" w:cs="Times New Roman"/>
          <w:sz w:val="28"/>
          <w:szCs w:val="28"/>
          <w:lang w:val="uk-UA" w:eastAsia="ru-RU"/>
        </w:rPr>
        <w:t>11</w:t>
      </w:r>
      <w:r w:rsidRPr="006D21A3">
        <w:rPr>
          <w:rFonts w:ascii="Times New Roman" w:eastAsia="Times New Roman" w:hAnsi="Times New Roman" w:cs="Times New Roman"/>
          <w:sz w:val="28"/>
          <w:szCs w:val="28"/>
          <w:lang w:val="uk-UA" w:eastAsia="ru-RU"/>
        </w:rPr>
        <w:t>.202</w:t>
      </w:r>
      <w:r w:rsidR="00E531B0" w:rsidRPr="006D21A3">
        <w:rPr>
          <w:rFonts w:ascii="Times New Roman" w:eastAsia="Times New Roman" w:hAnsi="Times New Roman" w:cs="Times New Roman"/>
          <w:sz w:val="28"/>
          <w:szCs w:val="28"/>
          <w:lang w:val="uk-UA" w:eastAsia="ru-RU"/>
        </w:rPr>
        <w:t>3</w:t>
      </w:r>
      <w:r w:rsidRPr="006D21A3">
        <w:rPr>
          <w:rFonts w:ascii="Times New Roman" w:eastAsia="Times New Roman" w:hAnsi="Times New Roman" w:cs="Times New Roman"/>
          <w:sz w:val="28"/>
          <w:szCs w:val="28"/>
          <w:lang w:val="uk-UA" w:eastAsia="ru-RU"/>
        </w:rPr>
        <w:t>р. №</w:t>
      </w:r>
      <w:r w:rsidR="006971EF" w:rsidRPr="006D21A3">
        <w:rPr>
          <w:rFonts w:ascii="Times New Roman" w:eastAsia="Times New Roman" w:hAnsi="Times New Roman" w:cs="Times New Roman"/>
          <w:sz w:val="28"/>
          <w:szCs w:val="28"/>
          <w:lang w:val="uk-UA" w:eastAsia="ru-RU"/>
        </w:rPr>
        <w:t>1</w:t>
      </w:r>
      <w:r w:rsidR="006D21A3" w:rsidRPr="006D21A3">
        <w:rPr>
          <w:rFonts w:ascii="Times New Roman" w:eastAsia="Times New Roman" w:hAnsi="Times New Roman" w:cs="Times New Roman"/>
          <w:sz w:val="28"/>
          <w:szCs w:val="28"/>
          <w:lang w:val="uk-UA" w:eastAsia="ru-RU"/>
        </w:rPr>
        <w:t>19</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7586C0" w14:textId="445CB760" w:rsidR="004B2D35" w:rsidRDefault="004B2D35" w:rsidP="00A231F2">
      <w:pPr>
        <w:spacing w:after="0" w:line="240" w:lineRule="auto"/>
        <w:ind w:left="2832" w:hanging="2832"/>
        <w:jc w:val="both"/>
        <w:rPr>
          <w:rFonts w:ascii="Times New Roman" w:eastAsia="Times New Roman" w:hAnsi="Times New Roman" w:cs="Times New Roman"/>
          <w:b/>
          <w:bCs/>
          <w:i/>
          <w:sz w:val="28"/>
          <w:szCs w:val="28"/>
          <w:lang w:val="uk-UA" w:eastAsia="ru-RU"/>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4A6301" w:rsidRPr="00E4746C">
        <w:rPr>
          <w:rFonts w:ascii="Times New Roman" w:eastAsia="Times New Roman" w:hAnsi="Times New Roman" w:cs="Times New Roman"/>
          <w:b/>
          <w:bCs/>
          <w:i/>
          <w:sz w:val="28"/>
          <w:szCs w:val="28"/>
          <w:lang w:val="uk-UA" w:eastAsia="ru-RU"/>
        </w:rPr>
        <w:t>«</w:t>
      </w:r>
      <w:r w:rsidR="004A6301" w:rsidRPr="00EB71CF">
        <w:rPr>
          <w:rFonts w:ascii="Times New Roman" w:eastAsia="Times New Roman" w:hAnsi="Times New Roman" w:cs="Times New Roman"/>
          <w:b/>
          <w:bCs/>
          <w:i/>
          <w:sz w:val="28"/>
          <w:szCs w:val="28"/>
          <w:lang w:val="uk-UA" w:eastAsia="ru-RU"/>
        </w:rPr>
        <w:t xml:space="preserve">Заходи з усунення аварії в житловому фонді внаслідок збройної агресії Російської Федерації, пов’язані з пошкодженням житлового будинку за </w:t>
      </w:r>
      <w:proofErr w:type="spellStart"/>
      <w:r w:rsidR="004A6301" w:rsidRPr="00EB71CF">
        <w:rPr>
          <w:rFonts w:ascii="Times New Roman" w:eastAsia="Times New Roman" w:hAnsi="Times New Roman" w:cs="Times New Roman"/>
          <w:b/>
          <w:bCs/>
          <w:i/>
          <w:sz w:val="28"/>
          <w:szCs w:val="28"/>
          <w:lang w:val="uk-UA" w:eastAsia="ru-RU"/>
        </w:rPr>
        <w:t>адресою</w:t>
      </w:r>
      <w:proofErr w:type="spellEnd"/>
      <w:r w:rsidR="004A6301" w:rsidRPr="00EB71CF">
        <w:rPr>
          <w:rFonts w:ascii="Times New Roman" w:eastAsia="Times New Roman" w:hAnsi="Times New Roman" w:cs="Times New Roman"/>
          <w:b/>
          <w:bCs/>
          <w:i/>
          <w:sz w:val="28"/>
          <w:szCs w:val="28"/>
          <w:lang w:val="uk-UA" w:eastAsia="ru-RU"/>
        </w:rPr>
        <w:t xml:space="preserve">: вул. Каштанова, 27, м. Кривий Ріг, Дніпропетровська обл. (демонтаж, у тому числі  </w:t>
      </w:r>
      <w:proofErr w:type="spellStart"/>
      <w:r w:rsidR="004A6301" w:rsidRPr="00EB71CF">
        <w:rPr>
          <w:rFonts w:ascii="Times New Roman" w:eastAsia="Times New Roman" w:hAnsi="Times New Roman" w:cs="Times New Roman"/>
          <w:b/>
          <w:bCs/>
          <w:i/>
          <w:sz w:val="28"/>
          <w:szCs w:val="28"/>
          <w:lang w:val="uk-UA" w:eastAsia="ru-RU"/>
        </w:rPr>
        <w:t>проєктні</w:t>
      </w:r>
      <w:proofErr w:type="spellEnd"/>
      <w:r w:rsidR="004A6301" w:rsidRPr="00EB71CF">
        <w:rPr>
          <w:rFonts w:ascii="Times New Roman" w:eastAsia="Times New Roman" w:hAnsi="Times New Roman" w:cs="Times New Roman"/>
          <w:b/>
          <w:bCs/>
          <w:i/>
          <w:sz w:val="28"/>
          <w:szCs w:val="28"/>
          <w:lang w:val="uk-UA" w:eastAsia="ru-RU"/>
        </w:rPr>
        <w:t xml:space="preserve"> роботи)</w:t>
      </w:r>
      <w:r w:rsidR="004A6301">
        <w:rPr>
          <w:rFonts w:ascii="Times New Roman" w:eastAsia="Times New Roman" w:hAnsi="Times New Roman" w:cs="Times New Roman"/>
          <w:b/>
          <w:bCs/>
          <w:i/>
          <w:sz w:val="28"/>
          <w:szCs w:val="28"/>
          <w:lang w:val="uk-UA" w:eastAsia="ru-RU"/>
        </w:rPr>
        <w:t>»</w:t>
      </w:r>
    </w:p>
    <w:p w14:paraId="33F3A595" w14:textId="25241873" w:rsidR="004A6301" w:rsidRPr="00967D3F" w:rsidRDefault="004A6301" w:rsidP="004A6301">
      <w:pPr>
        <w:spacing w:after="0" w:line="240" w:lineRule="auto"/>
        <w:ind w:left="2832" w:firstLine="3"/>
        <w:jc w:val="both"/>
        <w:rPr>
          <w:rFonts w:ascii="Times New Roman" w:eastAsia="Times New Roman" w:hAnsi="Times New Roman" w:cs="Times New Roman"/>
          <w:b/>
          <w:bCs/>
          <w:i/>
          <w:sz w:val="28"/>
          <w:szCs w:val="28"/>
          <w:lang w:val="uk-UA" w:eastAsia="ru-RU"/>
        </w:rPr>
      </w:pPr>
      <w:r w:rsidRPr="008A432D">
        <w:rPr>
          <w:rFonts w:ascii="Times New Roman" w:eastAsia="Times New Roman" w:hAnsi="Times New Roman"/>
          <w:b/>
          <w:bCs/>
          <w:i/>
          <w:sz w:val="28"/>
          <w:szCs w:val="28"/>
          <w:lang w:eastAsia="ru-RU"/>
        </w:rPr>
        <w:t>(ДК 021:2015: 45</w:t>
      </w:r>
      <w:r>
        <w:rPr>
          <w:rFonts w:ascii="Times New Roman" w:eastAsia="Times New Roman" w:hAnsi="Times New Roman"/>
          <w:b/>
          <w:bCs/>
          <w:i/>
          <w:sz w:val="28"/>
          <w:szCs w:val="28"/>
          <w:lang w:eastAsia="ru-RU"/>
        </w:rPr>
        <w:t>1</w:t>
      </w:r>
      <w:r w:rsidRPr="008A432D">
        <w:rPr>
          <w:rFonts w:ascii="Times New Roman" w:eastAsia="Times New Roman" w:hAnsi="Times New Roman"/>
          <w:b/>
          <w:bCs/>
          <w:i/>
          <w:sz w:val="28"/>
          <w:szCs w:val="28"/>
          <w:lang w:eastAsia="ru-RU"/>
        </w:rPr>
        <w:t>10</w:t>
      </w:r>
      <w:r>
        <w:rPr>
          <w:rFonts w:ascii="Times New Roman" w:eastAsia="Times New Roman" w:hAnsi="Times New Roman"/>
          <w:b/>
          <w:bCs/>
          <w:i/>
          <w:sz w:val="28"/>
          <w:szCs w:val="28"/>
          <w:lang w:eastAsia="ru-RU"/>
        </w:rPr>
        <w:t>0</w:t>
      </w:r>
      <w:r w:rsidRPr="008A432D">
        <w:rPr>
          <w:rFonts w:ascii="Times New Roman" w:eastAsia="Times New Roman" w:hAnsi="Times New Roman"/>
          <w:b/>
          <w:bCs/>
          <w:i/>
          <w:sz w:val="28"/>
          <w:szCs w:val="28"/>
          <w:lang w:eastAsia="ru-RU"/>
        </w:rPr>
        <w:t>00-</w:t>
      </w:r>
      <w:r>
        <w:rPr>
          <w:rFonts w:ascii="Times New Roman" w:eastAsia="Times New Roman" w:hAnsi="Times New Roman"/>
          <w:b/>
          <w:bCs/>
          <w:i/>
          <w:sz w:val="28"/>
          <w:szCs w:val="28"/>
          <w:lang w:eastAsia="ru-RU"/>
        </w:rPr>
        <w:t>1</w:t>
      </w:r>
      <w:r w:rsidRPr="008A432D">
        <w:rPr>
          <w:rFonts w:ascii="Times New Roman" w:eastAsia="Times New Roman" w:hAnsi="Times New Roman"/>
          <w:b/>
          <w:bCs/>
          <w:i/>
          <w:sz w:val="28"/>
          <w:szCs w:val="28"/>
          <w:lang w:eastAsia="ru-RU"/>
        </w:rPr>
        <w:t xml:space="preserve"> — </w:t>
      </w:r>
      <w:proofErr w:type="spellStart"/>
      <w:r>
        <w:rPr>
          <w:rFonts w:ascii="Times New Roman" w:eastAsia="Times New Roman" w:hAnsi="Times New Roman"/>
          <w:b/>
          <w:bCs/>
          <w:i/>
          <w:sz w:val="28"/>
          <w:szCs w:val="28"/>
          <w:lang w:eastAsia="ru-RU"/>
        </w:rPr>
        <w:t>Руйнування</w:t>
      </w:r>
      <w:proofErr w:type="spellEnd"/>
      <w:r>
        <w:rPr>
          <w:rFonts w:ascii="Times New Roman" w:eastAsia="Times New Roman" w:hAnsi="Times New Roman"/>
          <w:b/>
          <w:bCs/>
          <w:i/>
          <w:sz w:val="28"/>
          <w:szCs w:val="28"/>
          <w:lang w:eastAsia="ru-RU"/>
        </w:rPr>
        <w:t xml:space="preserve"> та </w:t>
      </w:r>
      <w:proofErr w:type="spellStart"/>
      <w:r>
        <w:rPr>
          <w:rFonts w:ascii="Times New Roman" w:eastAsia="Times New Roman" w:hAnsi="Times New Roman"/>
          <w:b/>
          <w:bCs/>
          <w:i/>
          <w:sz w:val="28"/>
          <w:szCs w:val="28"/>
          <w:lang w:eastAsia="ru-RU"/>
        </w:rPr>
        <w:t>знесення</w:t>
      </w:r>
      <w:proofErr w:type="spellEnd"/>
      <w:r>
        <w:rPr>
          <w:rFonts w:ascii="Times New Roman" w:eastAsia="Times New Roman" w:hAnsi="Times New Roman"/>
          <w:b/>
          <w:bCs/>
          <w:i/>
          <w:sz w:val="28"/>
          <w:szCs w:val="28"/>
          <w:lang w:eastAsia="ru-RU"/>
        </w:rPr>
        <w:t xml:space="preserve"> </w:t>
      </w:r>
      <w:proofErr w:type="spellStart"/>
      <w:r>
        <w:rPr>
          <w:rFonts w:ascii="Times New Roman" w:eastAsia="Times New Roman" w:hAnsi="Times New Roman"/>
          <w:b/>
          <w:bCs/>
          <w:i/>
          <w:sz w:val="28"/>
          <w:szCs w:val="28"/>
          <w:lang w:eastAsia="ru-RU"/>
        </w:rPr>
        <w:t>будівель</w:t>
      </w:r>
      <w:proofErr w:type="spellEnd"/>
      <w:r>
        <w:rPr>
          <w:rFonts w:ascii="Times New Roman" w:eastAsia="Times New Roman" w:hAnsi="Times New Roman"/>
          <w:b/>
          <w:bCs/>
          <w:i/>
          <w:sz w:val="28"/>
          <w:szCs w:val="28"/>
          <w:lang w:eastAsia="ru-RU"/>
        </w:rPr>
        <w:t xml:space="preserve"> і </w:t>
      </w:r>
      <w:proofErr w:type="spellStart"/>
      <w:r>
        <w:rPr>
          <w:rFonts w:ascii="Times New Roman" w:eastAsia="Times New Roman" w:hAnsi="Times New Roman"/>
          <w:b/>
          <w:bCs/>
          <w:i/>
          <w:sz w:val="28"/>
          <w:szCs w:val="28"/>
          <w:lang w:eastAsia="ru-RU"/>
        </w:rPr>
        <w:t>земляні</w:t>
      </w:r>
      <w:proofErr w:type="spellEnd"/>
      <w:r>
        <w:rPr>
          <w:rFonts w:ascii="Times New Roman" w:eastAsia="Times New Roman" w:hAnsi="Times New Roman"/>
          <w:b/>
          <w:bCs/>
          <w:i/>
          <w:sz w:val="28"/>
          <w:szCs w:val="28"/>
          <w:lang w:eastAsia="ru-RU"/>
        </w:rPr>
        <w:t xml:space="preserve"> </w:t>
      </w:r>
      <w:proofErr w:type="spellStart"/>
      <w:r>
        <w:rPr>
          <w:rFonts w:ascii="Times New Roman" w:eastAsia="Times New Roman" w:hAnsi="Times New Roman"/>
          <w:b/>
          <w:bCs/>
          <w:i/>
          <w:sz w:val="28"/>
          <w:szCs w:val="28"/>
          <w:lang w:eastAsia="ru-RU"/>
        </w:rPr>
        <w:t>роботи</w:t>
      </w:r>
      <w:proofErr w:type="spellEnd"/>
      <w:r w:rsidRPr="008A432D">
        <w:rPr>
          <w:rFonts w:ascii="Times New Roman" w:eastAsia="Times New Roman" w:hAnsi="Times New Roman"/>
          <w:b/>
          <w:bCs/>
          <w:i/>
          <w:sz w:val="28"/>
          <w:szCs w:val="28"/>
          <w:lang w:eastAsia="ru-RU"/>
        </w:rPr>
        <w:t>)</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23A65EB2" w:rsidR="004B2D35" w:rsidRPr="00085378"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422AF">
        <w:rPr>
          <w:rFonts w:ascii="Times New Roman CYR" w:eastAsia="Times New Roman" w:hAnsi="Times New Roman CYR" w:cs="Times New Roman CYR"/>
          <w:b/>
          <w:bCs/>
          <w:sz w:val="28"/>
          <w:szCs w:val="28"/>
          <w:lang w:val="uk-UA" w:eastAsia="ru-RU"/>
        </w:rPr>
        <w:t xml:space="preserve"> 202</w:t>
      </w:r>
      <w:r w:rsidR="00085378" w:rsidRPr="00085378">
        <w:rPr>
          <w:rFonts w:ascii="Times New Roman CYR" w:eastAsia="Times New Roman" w:hAnsi="Times New Roman CYR" w:cs="Times New Roman CYR"/>
          <w:b/>
          <w:bCs/>
          <w:sz w:val="28"/>
          <w:szCs w:val="28"/>
          <w:lang w:eastAsia="ru-RU"/>
        </w:rPr>
        <w:t>3</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0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048C4"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84AA5BB" w14:textId="77777777" w:rsidR="004A6301" w:rsidRPr="004A6301" w:rsidRDefault="004A6301" w:rsidP="004A6301">
            <w:pPr>
              <w:spacing w:after="0" w:line="240" w:lineRule="auto"/>
              <w:jc w:val="both"/>
              <w:rPr>
                <w:rFonts w:ascii="Times New Roman" w:eastAsia="Times New Roman" w:hAnsi="Times New Roman" w:cs="Times New Roman"/>
                <w:bCs/>
                <w:sz w:val="24"/>
                <w:szCs w:val="24"/>
                <w:lang w:val="uk-UA" w:eastAsia="ru-RU"/>
              </w:rPr>
            </w:pPr>
            <w:r w:rsidRPr="004A6301">
              <w:rPr>
                <w:rFonts w:ascii="Times New Roman" w:eastAsia="Times New Roman" w:hAnsi="Times New Roman" w:cs="Times New Roman"/>
                <w:bCs/>
                <w:sz w:val="24"/>
                <w:szCs w:val="24"/>
                <w:lang w:val="uk-UA" w:eastAsia="ru-RU"/>
              </w:rPr>
              <w:t xml:space="preserve">«Заходи з усунення аварії в житловому фонді внаслідок збройної агресії Російської Федерації, пов’язані з пошкодженням житлового будинку за </w:t>
            </w:r>
            <w:proofErr w:type="spellStart"/>
            <w:r w:rsidRPr="004A6301">
              <w:rPr>
                <w:rFonts w:ascii="Times New Roman" w:eastAsia="Times New Roman" w:hAnsi="Times New Roman" w:cs="Times New Roman"/>
                <w:bCs/>
                <w:sz w:val="24"/>
                <w:szCs w:val="24"/>
                <w:lang w:val="uk-UA" w:eastAsia="ru-RU"/>
              </w:rPr>
              <w:t>адресою</w:t>
            </w:r>
            <w:proofErr w:type="spellEnd"/>
            <w:r w:rsidRPr="004A6301">
              <w:rPr>
                <w:rFonts w:ascii="Times New Roman" w:eastAsia="Times New Roman" w:hAnsi="Times New Roman" w:cs="Times New Roman"/>
                <w:bCs/>
                <w:sz w:val="24"/>
                <w:szCs w:val="24"/>
                <w:lang w:val="uk-UA" w:eastAsia="ru-RU"/>
              </w:rPr>
              <w:t xml:space="preserve">: вул. Каштанова, 27, м. Кривий Ріг, Дніпропетровська обл. (демонтаж, у тому числі  </w:t>
            </w:r>
            <w:proofErr w:type="spellStart"/>
            <w:r w:rsidRPr="004A6301">
              <w:rPr>
                <w:rFonts w:ascii="Times New Roman" w:eastAsia="Times New Roman" w:hAnsi="Times New Roman" w:cs="Times New Roman"/>
                <w:bCs/>
                <w:sz w:val="24"/>
                <w:szCs w:val="24"/>
                <w:lang w:val="uk-UA" w:eastAsia="ru-RU"/>
              </w:rPr>
              <w:t>проєктні</w:t>
            </w:r>
            <w:proofErr w:type="spellEnd"/>
            <w:r w:rsidRPr="004A6301">
              <w:rPr>
                <w:rFonts w:ascii="Times New Roman" w:eastAsia="Times New Roman" w:hAnsi="Times New Roman" w:cs="Times New Roman"/>
                <w:bCs/>
                <w:sz w:val="24"/>
                <w:szCs w:val="24"/>
                <w:lang w:val="uk-UA" w:eastAsia="ru-RU"/>
              </w:rPr>
              <w:t xml:space="preserve"> роботи)»</w:t>
            </w:r>
          </w:p>
          <w:p w14:paraId="52C4C9A7" w14:textId="77777777" w:rsidR="004A6301" w:rsidRPr="004A6301" w:rsidRDefault="004A6301" w:rsidP="004A6301">
            <w:pPr>
              <w:spacing w:after="0" w:line="240" w:lineRule="auto"/>
              <w:jc w:val="both"/>
              <w:rPr>
                <w:rFonts w:ascii="Times New Roman" w:eastAsia="Times New Roman" w:hAnsi="Times New Roman" w:cs="Times New Roman"/>
                <w:bCs/>
                <w:sz w:val="24"/>
                <w:szCs w:val="24"/>
                <w:lang w:val="uk-UA" w:eastAsia="ru-RU"/>
              </w:rPr>
            </w:pPr>
            <w:r w:rsidRPr="004A6301">
              <w:rPr>
                <w:rFonts w:ascii="Times New Roman" w:eastAsia="Times New Roman" w:hAnsi="Times New Roman"/>
                <w:bCs/>
                <w:sz w:val="24"/>
                <w:szCs w:val="24"/>
                <w:lang w:eastAsia="ru-RU"/>
              </w:rPr>
              <w:t xml:space="preserve">(ДК 021:2015: 45110000-1 — </w:t>
            </w:r>
            <w:proofErr w:type="spellStart"/>
            <w:r w:rsidRPr="004A6301">
              <w:rPr>
                <w:rFonts w:ascii="Times New Roman" w:eastAsia="Times New Roman" w:hAnsi="Times New Roman"/>
                <w:bCs/>
                <w:sz w:val="24"/>
                <w:szCs w:val="24"/>
                <w:lang w:eastAsia="ru-RU"/>
              </w:rPr>
              <w:t>Руйнування</w:t>
            </w:r>
            <w:proofErr w:type="spellEnd"/>
            <w:r w:rsidRPr="004A6301">
              <w:rPr>
                <w:rFonts w:ascii="Times New Roman" w:eastAsia="Times New Roman" w:hAnsi="Times New Roman"/>
                <w:bCs/>
                <w:sz w:val="24"/>
                <w:szCs w:val="24"/>
                <w:lang w:eastAsia="ru-RU"/>
              </w:rPr>
              <w:t xml:space="preserve"> та </w:t>
            </w:r>
            <w:proofErr w:type="spellStart"/>
            <w:r w:rsidRPr="004A6301">
              <w:rPr>
                <w:rFonts w:ascii="Times New Roman" w:eastAsia="Times New Roman" w:hAnsi="Times New Roman"/>
                <w:bCs/>
                <w:sz w:val="24"/>
                <w:szCs w:val="24"/>
                <w:lang w:eastAsia="ru-RU"/>
              </w:rPr>
              <w:t>знесення</w:t>
            </w:r>
            <w:proofErr w:type="spellEnd"/>
            <w:r w:rsidRPr="004A6301">
              <w:rPr>
                <w:rFonts w:ascii="Times New Roman" w:eastAsia="Times New Roman" w:hAnsi="Times New Roman"/>
                <w:bCs/>
                <w:sz w:val="24"/>
                <w:szCs w:val="24"/>
                <w:lang w:eastAsia="ru-RU"/>
              </w:rPr>
              <w:t xml:space="preserve"> </w:t>
            </w:r>
            <w:proofErr w:type="spellStart"/>
            <w:r w:rsidRPr="004A6301">
              <w:rPr>
                <w:rFonts w:ascii="Times New Roman" w:eastAsia="Times New Roman" w:hAnsi="Times New Roman"/>
                <w:bCs/>
                <w:sz w:val="24"/>
                <w:szCs w:val="24"/>
                <w:lang w:eastAsia="ru-RU"/>
              </w:rPr>
              <w:t>будівель</w:t>
            </w:r>
            <w:proofErr w:type="spellEnd"/>
            <w:r w:rsidRPr="004A6301">
              <w:rPr>
                <w:rFonts w:ascii="Times New Roman" w:eastAsia="Times New Roman" w:hAnsi="Times New Roman"/>
                <w:bCs/>
                <w:sz w:val="24"/>
                <w:szCs w:val="24"/>
                <w:lang w:eastAsia="ru-RU"/>
              </w:rPr>
              <w:t xml:space="preserve"> і </w:t>
            </w:r>
            <w:proofErr w:type="spellStart"/>
            <w:r w:rsidRPr="004A6301">
              <w:rPr>
                <w:rFonts w:ascii="Times New Roman" w:eastAsia="Times New Roman" w:hAnsi="Times New Roman"/>
                <w:bCs/>
                <w:sz w:val="24"/>
                <w:szCs w:val="24"/>
                <w:lang w:eastAsia="ru-RU"/>
              </w:rPr>
              <w:t>земляні</w:t>
            </w:r>
            <w:proofErr w:type="spellEnd"/>
            <w:r w:rsidRPr="004A6301">
              <w:rPr>
                <w:rFonts w:ascii="Times New Roman" w:eastAsia="Times New Roman" w:hAnsi="Times New Roman"/>
                <w:bCs/>
                <w:sz w:val="24"/>
                <w:szCs w:val="24"/>
                <w:lang w:eastAsia="ru-RU"/>
              </w:rPr>
              <w:t xml:space="preserve"> </w:t>
            </w:r>
            <w:proofErr w:type="spellStart"/>
            <w:r w:rsidRPr="004A6301">
              <w:rPr>
                <w:rFonts w:ascii="Times New Roman" w:eastAsia="Times New Roman" w:hAnsi="Times New Roman"/>
                <w:bCs/>
                <w:sz w:val="24"/>
                <w:szCs w:val="24"/>
                <w:lang w:eastAsia="ru-RU"/>
              </w:rPr>
              <w:t>роботи</w:t>
            </w:r>
            <w:proofErr w:type="spellEnd"/>
            <w:r w:rsidRPr="004A6301">
              <w:rPr>
                <w:rFonts w:ascii="Times New Roman" w:eastAsia="Times New Roman" w:hAnsi="Times New Roman"/>
                <w:bCs/>
                <w:sz w:val="24"/>
                <w:szCs w:val="24"/>
                <w:lang w:eastAsia="ru-RU"/>
              </w:rPr>
              <w:t>)</w:t>
            </w:r>
          </w:p>
          <w:p w14:paraId="57C7EFF9" w14:textId="10D72247" w:rsidR="00B413F2" w:rsidRPr="00A231F2"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7DC9488D" w14:textId="7C3A1BB5" w:rsidR="004A6301" w:rsidRDefault="00C46737" w:rsidP="00B13D90">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виконання </w:t>
            </w:r>
            <w:r w:rsidR="00AA755A">
              <w:rPr>
                <w:rFonts w:ascii="Times New Roman" w:eastAsia="Times New Roman" w:hAnsi="Times New Roman" w:cs="Times New Roman"/>
                <w:sz w:val="24"/>
                <w:szCs w:val="24"/>
                <w:lang w:val="uk-UA" w:eastAsia="ru-RU"/>
              </w:rPr>
              <w:t>послуг</w:t>
            </w:r>
            <w:r w:rsidRPr="00ED2626">
              <w:rPr>
                <w:rFonts w:ascii="Times New Roman" w:eastAsia="Times New Roman" w:hAnsi="Times New Roman" w:cs="Times New Roman"/>
                <w:sz w:val="24"/>
                <w:szCs w:val="24"/>
                <w:lang w:val="uk-UA" w:eastAsia="ru-RU"/>
              </w:rPr>
              <w:t xml:space="preserve">: </w:t>
            </w:r>
            <w:r w:rsidR="004A6301" w:rsidRPr="00F60E00">
              <w:rPr>
                <w:rFonts w:ascii="Times New Roman" w:eastAsia="Times New Roman" w:hAnsi="Times New Roman" w:cs="Times New Roman"/>
                <w:sz w:val="24"/>
                <w:szCs w:val="24"/>
                <w:lang w:eastAsia="ru-RU"/>
              </w:rPr>
              <w:t>5</w:t>
            </w:r>
            <w:r w:rsidR="004A6301" w:rsidRPr="00401D7C">
              <w:rPr>
                <w:rFonts w:ascii="Times New Roman" w:eastAsia="Times New Roman" w:hAnsi="Times New Roman" w:cs="Times New Roman"/>
                <w:sz w:val="24"/>
                <w:szCs w:val="24"/>
                <w:lang w:eastAsia="ru-RU"/>
              </w:rPr>
              <w:t>0082</w:t>
            </w:r>
            <w:r w:rsidR="004A6301">
              <w:rPr>
                <w:rFonts w:ascii="Times New Roman" w:eastAsia="Times New Roman" w:hAnsi="Times New Roman" w:cs="Times New Roman"/>
                <w:sz w:val="24"/>
                <w:szCs w:val="24"/>
                <w:lang w:val="uk-UA" w:eastAsia="ru-RU"/>
              </w:rPr>
              <w:t xml:space="preserve">, </w:t>
            </w:r>
            <w:r w:rsidR="004A6301" w:rsidRPr="000870E4">
              <w:rPr>
                <w:rFonts w:ascii="Times New Roman" w:eastAsia="Times New Roman" w:hAnsi="Times New Roman" w:cs="Times New Roman"/>
                <w:color w:val="000000"/>
                <w:sz w:val="24"/>
                <w:szCs w:val="24"/>
                <w:lang w:val="uk-UA" w:eastAsia="ru-RU"/>
              </w:rPr>
              <w:t>Дніпропетровська область, м.</w:t>
            </w:r>
            <w:r w:rsidR="004A6301">
              <w:rPr>
                <w:rFonts w:ascii="Times New Roman" w:eastAsia="Times New Roman" w:hAnsi="Times New Roman" w:cs="Times New Roman"/>
                <w:color w:val="000000"/>
                <w:sz w:val="24"/>
                <w:szCs w:val="24"/>
                <w:lang w:val="uk-UA" w:eastAsia="ru-RU"/>
              </w:rPr>
              <w:t xml:space="preserve"> </w:t>
            </w:r>
            <w:r w:rsidR="004A6301" w:rsidRPr="000870E4">
              <w:rPr>
                <w:rFonts w:ascii="Times New Roman" w:eastAsia="Times New Roman" w:hAnsi="Times New Roman" w:cs="Times New Roman"/>
                <w:color w:val="000000"/>
                <w:sz w:val="24"/>
                <w:szCs w:val="24"/>
                <w:lang w:val="uk-UA" w:eastAsia="ru-RU"/>
              </w:rPr>
              <w:t xml:space="preserve">Кривий Ріг, </w:t>
            </w:r>
            <w:r w:rsidR="004A6301" w:rsidRPr="00967D3F">
              <w:rPr>
                <w:rFonts w:ascii="Times New Roman" w:eastAsia="Times New Roman" w:hAnsi="Times New Roman" w:cs="Times New Roman"/>
                <w:bCs/>
                <w:sz w:val="24"/>
                <w:szCs w:val="24"/>
                <w:lang w:val="uk-UA" w:eastAsia="ru-RU"/>
              </w:rPr>
              <w:t>вул. Каштанова, 27</w:t>
            </w:r>
            <w:r w:rsidR="004A6301">
              <w:rPr>
                <w:rFonts w:ascii="Times New Roman" w:eastAsia="Times New Roman" w:hAnsi="Times New Roman" w:cs="Times New Roman"/>
                <w:color w:val="000000"/>
                <w:sz w:val="24"/>
                <w:szCs w:val="24"/>
                <w:lang w:val="uk-UA" w:eastAsia="ru-RU"/>
              </w:rPr>
              <w:t>.</w:t>
            </w:r>
          </w:p>
          <w:p w14:paraId="62AD202D" w14:textId="15A26DDB" w:rsidR="00B413F2" w:rsidRPr="00B413F2" w:rsidRDefault="00C46737" w:rsidP="00AA755A">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AA755A">
              <w:rPr>
                <w:rFonts w:ascii="Times New Roman" w:eastAsia="Times New Roman" w:hAnsi="Times New Roman" w:cs="Times New Roman"/>
                <w:sz w:val="24"/>
                <w:szCs w:val="24"/>
                <w:lang w:val="uk-UA" w:eastAsia="ru-RU"/>
              </w:rPr>
              <w:t>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1 </w:t>
            </w:r>
            <w:r w:rsidR="00967D3F" w:rsidRPr="00ED2626">
              <w:rPr>
                <w:rFonts w:ascii="Times New Roman" w:eastAsia="Times New Roman" w:hAnsi="Times New Roman" w:cs="Times New Roman"/>
                <w:color w:val="000000"/>
                <w:sz w:val="24"/>
                <w:szCs w:val="24"/>
                <w:lang w:val="uk-UA" w:eastAsia="ru-RU"/>
              </w:rPr>
              <w:t>послуга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D3DABDE" w:rsidR="00B413F2" w:rsidRPr="00B413F2" w:rsidRDefault="00DC7484" w:rsidP="006D21A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i/>
                <w:iCs/>
                <w:sz w:val="24"/>
                <w:szCs w:val="24"/>
                <w:lang w:val="uk-UA" w:eastAsia="ru-RU"/>
              </w:rPr>
              <w:t xml:space="preserve">до </w:t>
            </w:r>
            <w:r w:rsidR="006D21A3">
              <w:rPr>
                <w:rFonts w:ascii="Times New Roman" w:eastAsia="Times New Roman" w:hAnsi="Times New Roman" w:cs="Times New Roman"/>
                <w:i/>
                <w:iCs/>
                <w:sz w:val="24"/>
                <w:szCs w:val="24"/>
                <w:lang w:val="uk-UA" w:eastAsia="ru-RU"/>
              </w:rPr>
              <w:t>15</w:t>
            </w:r>
            <w:r w:rsidR="00B413F2" w:rsidRPr="00ED2626">
              <w:rPr>
                <w:rFonts w:ascii="Times New Roman" w:eastAsia="Times New Roman" w:hAnsi="Times New Roman" w:cs="Times New Roman"/>
                <w:i/>
                <w:iCs/>
                <w:sz w:val="24"/>
                <w:szCs w:val="24"/>
                <w:lang w:val="uk-UA" w:eastAsia="ru-RU"/>
              </w:rPr>
              <w:t>.</w:t>
            </w:r>
            <w:r w:rsidR="00706BAD" w:rsidRPr="00ED2626">
              <w:rPr>
                <w:rFonts w:ascii="Times New Roman" w:eastAsia="Times New Roman" w:hAnsi="Times New Roman" w:cs="Times New Roman"/>
                <w:i/>
                <w:iCs/>
                <w:sz w:val="24"/>
                <w:szCs w:val="24"/>
                <w:lang w:val="uk-UA" w:eastAsia="ru-RU"/>
              </w:rPr>
              <w:t>1</w:t>
            </w:r>
            <w:r w:rsidR="004A6301">
              <w:rPr>
                <w:rFonts w:ascii="Times New Roman" w:eastAsia="Times New Roman" w:hAnsi="Times New Roman" w:cs="Times New Roman"/>
                <w:i/>
                <w:iCs/>
                <w:sz w:val="24"/>
                <w:szCs w:val="24"/>
                <w:lang w:val="en-US" w:eastAsia="ru-RU"/>
              </w:rPr>
              <w:t>2</w:t>
            </w:r>
            <w:r w:rsidR="00B413F2" w:rsidRPr="00ED2626">
              <w:rPr>
                <w:rFonts w:ascii="Times New Roman" w:eastAsia="Times New Roman" w:hAnsi="Times New Roman" w:cs="Times New Roman"/>
                <w:i/>
                <w:iCs/>
                <w:sz w:val="24"/>
                <w:szCs w:val="24"/>
                <w:lang w:val="uk-UA" w:eastAsia="ru-RU"/>
              </w:rPr>
              <w:t>.2023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B413F2">
        <w:tc>
          <w:tcPr>
            <w:tcW w:w="30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A3701">
              <w:rPr>
                <w:rFonts w:ascii="Times New Roman" w:eastAsia="Times New Roman" w:hAnsi="Times New Roman" w:cs="Times New Roman"/>
                <w:sz w:val="24"/>
                <w:szCs w:val="24"/>
                <w:lang w:val="uk-UA" w:eastAsia="ru-RU"/>
              </w:rPr>
              <w:lastRenderedPageBreak/>
              <w:t>торгів</w:t>
            </w:r>
          </w:p>
        </w:tc>
        <w:tc>
          <w:tcPr>
            <w:tcW w:w="3150"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6D21A3"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71810" w:rsidRPr="004C22A2" w:rsidRDefault="00F6155E" w:rsidP="0067181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w:t>
            </w:r>
            <w:r w:rsidRPr="00F6155E">
              <w:rPr>
                <w:rFonts w:ascii="Times New Roman" w:eastAsia="Times New Roman" w:hAnsi="Times New Roman" w:cs="Times New Roman"/>
                <w:sz w:val="24"/>
                <w:szCs w:val="24"/>
                <w:lang w:val="uk-UA" w:eastAsia="ru-RU"/>
              </w:rPr>
              <w:lastRenderedPageBreak/>
              <w:t xml:space="preserve">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6D21A3"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cs="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складі тендерна пропозиція» замість «у складі </w:t>
            </w:r>
            <w:r>
              <w:rPr>
                <w:rFonts w:ascii="Times New Roman" w:eastAsia="Times New Roman" w:hAnsi="Times New Roman" w:cs="Times New Roman"/>
                <w:sz w:val="24"/>
                <w:szCs w:val="24"/>
                <w:lang w:val="uk-UA" w:eastAsia="ru-RU"/>
              </w:rPr>
              <w:lastRenderedPageBreak/>
              <w:t>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D21A3"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C8E4A06" w14:textId="2AE4592C"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A230EA" w:rsidRPr="00A230EA">
              <w:rPr>
                <w:rFonts w:ascii="Times New Roman" w:eastAsia="Times New Roman" w:hAnsi="Times New Roman"/>
                <w:i/>
                <w:iCs/>
                <w:sz w:val="24"/>
                <w:szCs w:val="24"/>
                <w:lang w:val="uk-UA" w:eastAsia="ru-RU"/>
              </w:rPr>
              <w:t>90 000,00 грн.(дев’яносто тисяч гривень 00 копійок)</w:t>
            </w:r>
            <w:r w:rsidR="002B7C60" w:rsidRPr="00A230EA">
              <w:rPr>
                <w:rFonts w:ascii="Times New Roman" w:eastAsia="Times New Roman" w:hAnsi="Times New Roman"/>
                <w:i/>
                <w:iCs/>
                <w:sz w:val="24"/>
                <w:szCs w:val="24"/>
                <w:lang w:val="uk-UA" w:eastAsia="ru-RU"/>
              </w:rPr>
              <w:t>.</w:t>
            </w:r>
            <w:r w:rsidRPr="00A230EA">
              <w:rPr>
                <w:rFonts w:ascii="Times New Roman" w:eastAsia="Times New Roman" w:hAnsi="Times New Roman"/>
                <w:sz w:val="24"/>
                <w:szCs w:val="24"/>
                <w:lang w:val="uk-UA" w:eastAsia="ru-RU"/>
              </w:rPr>
              <w:t xml:space="preserve"> </w:t>
            </w:r>
          </w:p>
          <w:p w14:paraId="49BA6D0B" w14:textId="20E57BD0"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2B7C60" w:rsidRPr="003A00C6">
              <w:rPr>
                <w:rFonts w:ascii="Times New Roman" w:eastAsia="Times New Roman" w:hAnsi="Times New Roman"/>
                <w:i/>
                <w:iCs/>
                <w:sz w:val="24"/>
                <w:szCs w:val="24"/>
                <w:lang w:val="uk-UA" w:eastAsia="ru-RU"/>
              </w:rPr>
              <w:t>банківська гарантія</w:t>
            </w:r>
            <w:r w:rsidR="002B7C60">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sidR="00E31837">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sidR="002B7C60">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00225159"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sidR="003D773C">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225159">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w:t>
            </w:r>
            <w:r w:rsidRPr="00897BF9">
              <w:rPr>
                <w:rFonts w:ascii="Times New Roman" w:eastAsia="Times New Roman" w:hAnsi="Times New Roman"/>
                <w:sz w:val="24"/>
                <w:szCs w:val="24"/>
                <w:lang w:val="uk-UA" w:eastAsia="ru-RU"/>
              </w:rPr>
              <w:lastRenderedPageBreak/>
              <w:t xml:space="preserve">інформація: </w:t>
            </w:r>
          </w:p>
          <w:p w14:paraId="55C9F7E8"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82639F" w:rsidRPr="00897BF9" w:rsidRDefault="0082639F" w:rsidP="0082639F">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82639F" w:rsidRPr="007157DD" w:rsidRDefault="0082639F" w:rsidP="0082639F">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82639F" w:rsidRPr="007157DD" w:rsidRDefault="0082639F" w:rsidP="0082639F">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82639F" w:rsidRPr="007157DD" w:rsidRDefault="0082639F" w:rsidP="0082639F">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82639F" w:rsidRPr="007157DD" w:rsidRDefault="0082639F" w:rsidP="0082639F">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w:t>
            </w:r>
            <w:r w:rsidRPr="00897BF9">
              <w:rPr>
                <w:rFonts w:ascii="Times New Roman" w:eastAsia="Times New Roman" w:hAnsi="Times New Roman"/>
                <w:sz w:val="24"/>
                <w:szCs w:val="24"/>
                <w:lang w:val="uk-UA" w:eastAsia="ru-RU"/>
              </w:rPr>
              <w:lastRenderedPageBreak/>
              <w:t xml:space="preserve">видачі гарантії або дата набрання нею чинності; </w:t>
            </w:r>
          </w:p>
          <w:p w14:paraId="5A2CC5E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82639F" w:rsidRPr="007157DD" w:rsidRDefault="0082639F" w:rsidP="0082639F">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82639F" w:rsidRPr="007157DD" w:rsidRDefault="0082639F" w:rsidP="0082639F">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2CC77D" w14:textId="77777777" w:rsidR="0082639F" w:rsidRPr="007157DD" w:rsidRDefault="0082639F" w:rsidP="0082639F">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82639F" w:rsidRPr="007157DD" w:rsidRDefault="0082639F" w:rsidP="0082639F">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82639F" w:rsidRPr="007157DD" w:rsidRDefault="0082639F" w:rsidP="0082639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A230EA" w:rsidRPr="003A00C6">
              <w:rPr>
                <w:rFonts w:ascii="Times New Roman" w:eastAsia="Times New Roman" w:hAnsi="Times New Roman"/>
                <w:i/>
                <w:iCs/>
                <w:sz w:val="24"/>
                <w:szCs w:val="24"/>
                <w:lang w:val="uk-UA" w:eastAsia="ru-RU"/>
              </w:rPr>
              <w:t xml:space="preserve">додатком </w:t>
            </w:r>
            <w:r w:rsidR="00A230EA">
              <w:rPr>
                <w:rFonts w:ascii="Times New Roman" w:eastAsia="Times New Roman" w:hAnsi="Times New Roman"/>
                <w:i/>
                <w:iCs/>
                <w:sz w:val="24"/>
                <w:szCs w:val="24"/>
                <w:lang w:val="uk-UA" w:eastAsia="ru-RU"/>
              </w:rPr>
              <w:t>6</w:t>
            </w:r>
            <w:r w:rsidR="00A230EA" w:rsidRPr="003A00C6">
              <w:rPr>
                <w:rFonts w:ascii="Times New Roman" w:eastAsia="Times New Roman" w:hAnsi="Times New Roman"/>
                <w:i/>
                <w:iCs/>
                <w:sz w:val="24"/>
                <w:szCs w:val="24"/>
                <w:lang w:val="uk-UA" w:eastAsia="ru-RU"/>
              </w:rPr>
              <w:t xml:space="preserve"> до тендерної документації</w:t>
            </w:r>
            <w:r w:rsidRPr="003A00C6">
              <w:rPr>
                <w:rFonts w:ascii="Times New Roman" w:eastAsia="Times New Roman" w:hAnsi="Times New Roman"/>
                <w:i/>
                <w:iCs/>
                <w:sz w:val="24"/>
                <w:szCs w:val="24"/>
                <w:lang w:val="uk-UA" w:eastAsia="ru-RU"/>
              </w:rPr>
              <w:t>;</w:t>
            </w:r>
            <w:r w:rsidRPr="007157DD">
              <w:rPr>
                <w:rFonts w:ascii="Times New Roman" w:eastAsia="Times New Roman" w:hAnsi="Times New Roman"/>
                <w:sz w:val="24"/>
                <w:szCs w:val="24"/>
                <w:lang w:val="uk-UA" w:eastAsia="ru-RU"/>
              </w:rPr>
              <w:t xml:space="preserve"> </w:t>
            </w:r>
          </w:p>
          <w:p w14:paraId="622F9A32" w14:textId="77777777" w:rsidR="0082639F" w:rsidRPr="007157DD" w:rsidRDefault="0082639F" w:rsidP="0082639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82639F" w:rsidRPr="007157DD" w:rsidRDefault="0082639F" w:rsidP="0082639F">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0E1E829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316B47"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BE72E3" w:rsidRPr="00E809B2" w:rsidRDefault="00BE72E3" w:rsidP="00BE72E3">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02E16A6C" w14:textId="77777777" w:rsidR="00BE72E3" w:rsidRPr="00E809B2" w:rsidRDefault="00BE72E3" w:rsidP="00BE72E3">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1CBC592C" w14:textId="77777777" w:rsidR="00BE72E3" w:rsidRPr="00E809B2" w:rsidRDefault="00BE72E3" w:rsidP="00BE72E3">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 xml:space="preserve">Місцезнаходження Замовника: площа Молодіжна, 1, м. </w:t>
            </w:r>
            <w:r w:rsidRPr="00E809B2">
              <w:rPr>
                <w:rFonts w:ascii="Times New Roman" w:hAnsi="Times New Roman" w:cs="Times New Roman"/>
                <w:bCs/>
                <w:iCs/>
                <w:sz w:val="24"/>
                <w:szCs w:val="24"/>
                <w:lang w:val="uk-UA"/>
              </w:rPr>
              <w:lastRenderedPageBreak/>
              <w:t>Кривий Ріг, Дніпропетровська область, 50101</w:t>
            </w:r>
          </w:p>
          <w:p w14:paraId="00B5BFB6" w14:textId="77777777" w:rsidR="00BE72E3" w:rsidRPr="00E809B2" w:rsidRDefault="00BE72E3" w:rsidP="00BE72E3">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2AEAEC7C" w:rsidR="00BE72E3" w:rsidRPr="00B413F2" w:rsidRDefault="00BE72E3" w:rsidP="00253716">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sidR="00253716">
              <w:rPr>
                <w:rFonts w:ascii="Times New Roman" w:hAnsi="Times New Roman" w:cs="Times New Roman"/>
                <w:bCs/>
                <w:iCs/>
                <w:sz w:val="24"/>
                <w:szCs w:val="24"/>
                <w:lang w:val="uk-UA"/>
              </w:rPr>
              <w:t>798201720344260035000054659</w:t>
            </w:r>
            <w:r w:rsidRPr="00E809B2">
              <w:rPr>
                <w:rFonts w:ascii="Times New Roman" w:hAnsi="Times New Roman" w:cs="Times New Roman"/>
                <w:bCs/>
                <w:iCs/>
                <w:sz w:val="24"/>
                <w:szCs w:val="24"/>
                <w:lang w:val="uk-UA"/>
              </w:rPr>
              <w:t xml:space="preserve"> </w:t>
            </w:r>
          </w:p>
        </w:tc>
      </w:tr>
      <w:tr w:rsidR="00316B47" w:rsidRPr="006D21A3"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C0AF02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w:t>
            </w:r>
            <w:bookmarkStart w:id="0" w:name="_GoBack"/>
            <w:bookmarkEnd w:id="0"/>
            <w:r w:rsidRPr="00897BF9">
              <w:rPr>
                <w:rFonts w:ascii="Times New Roman" w:eastAsia="Times New Roman" w:hAnsi="Times New Roman"/>
                <w:sz w:val="24"/>
                <w:szCs w:val="24"/>
                <w:lang w:val="uk-UA" w:eastAsia="ru-RU"/>
              </w:rPr>
              <w:t xml:space="preserve">абезпечення тендерної пропозиції повертається учаснику в разі: </w:t>
            </w:r>
          </w:p>
          <w:p w14:paraId="1AAB9B3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316B47" w:rsidRPr="00B413F2" w:rsidRDefault="00AC3EBA" w:rsidP="00AC3EB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6D21A3"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343C2" w:rsidRPr="00066957"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36E38AA" w14:textId="77777777" w:rsidR="004A6301" w:rsidRPr="00631D6C" w:rsidRDefault="004A6301" w:rsidP="004A630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680A37C" w14:textId="7DF50BB2" w:rsidR="004A6301" w:rsidRPr="00631D6C" w:rsidRDefault="0007404B" w:rsidP="004A6301">
            <w:pPr>
              <w:spacing w:before="150" w:after="150"/>
              <w:jc w:val="both"/>
              <w:rPr>
                <w:rFonts w:ascii="Times New Roman" w:eastAsia="Times New Roman" w:hAnsi="Times New Roman" w:cs="Times New Roman"/>
                <w:b/>
                <w:i/>
                <w:sz w:val="24"/>
                <w:szCs w:val="24"/>
                <w:lang w:val="uk-UA" w:eastAsia="ru-RU"/>
              </w:rPr>
            </w:pPr>
            <w:proofErr w:type="spellStart"/>
            <w:r w:rsidRPr="00A617F6">
              <w:rPr>
                <w:rFonts w:ascii="Times New Roman" w:hAnsi="Times New Roman"/>
                <w:sz w:val="24"/>
                <w:szCs w:val="24"/>
                <w:lang w:eastAsia="uk-UA"/>
              </w:rPr>
              <w:t>Ціна</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тендерної</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пропозиції</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учасника</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означає</w:t>
            </w:r>
            <w:proofErr w:type="spellEnd"/>
            <w:r w:rsidRPr="00A617F6">
              <w:rPr>
                <w:rFonts w:ascii="Times New Roman" w:hAnsi="Times New Roman"/>
                <w:sz w:val="24"/>
                <w:szCs w:val="24"/>
                <w:lang w:eastAsia="uk-UA"/>
              </w:rPr>
              <w:t xml:space="preserve"> суму, за яку </w:t>
            </w:r>
            <w:proofErr w:type="spellStart"/>
            <w:r w:rsidRPr="00A617F6">
              <w:rPr>
                <w:rFonts w:ascii="Times New Roman" w:hAnsi="Times New Roman"/>
                <w:sz w:val="24"/>
                <w:szCs w:val="24"/>
                <w:lang w:eastAsia="uk-UA"/>
              </w:rPr>
              <w:t>учасник</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передбачає</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виконати</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замовлення</w:t>
            </w:r>
            <w:proofErr w:type="spellEnd"/>
            <w:r w:rsidRPr="00A617F6">
              <w:rPr>
                <w:rFonts w:ascii="Times New Roman" w:hAnsi="Times New Roman"/>
                <w:sz w:val="24"/>
                <w:szCs w:val="24"/>
                <w:lang w:eastAsia="uk-UA"/>
              </w:rPr>
              <w:t xml:space="preserve"> </w:t>
            </w:r>
            <w:proofErr w:type="spellStart"/>
            <w:r>
              <w:rPr>
                <w:rFonts w:ascii="Times New Roman" w:hAnsi="Times New Roman"/>
                <w:sz w:val="24"/>
                <w:szCs w:val="24"/>
                <w:lang w:eastAsia="uk-UA"/>
              </w:rPr>
              <w:t>щодо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послуг</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передбачених</w:t>
            </w:r>
            <w:proofErr w:type="spellEnd"/>
            <w:r w:rsidRPr="00A617F6">
              <w:rPr>
                <w:rFonts w:ascii="Times New Roman" w:hAnsi="Times New Roman"/>
                <w:sz w:val="24"/>
                <w:szCs w:val="24"/>
                <w:lang w:eastAsia="uk-UA"/>
              </w:rPr>
              <w:t xml:space="preserve"> в </w:t>
            </w:r>
            <w:proofErr w:type="spellStart"/>
            <w:r w:rsidRPr="00A617F6">
              <w:rPr>
                <w:rFonts w:ascii="Times New Roman" w:hAnsi="Times New Roman"/>
                <w:sz w:val="24"/>
                <w:szCs w:val="24"/>
                <w:lang w:eastAsia="uk-UA"/>
              </w:rPr>
              <w:t>технічному</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завданні</w:t>
            </w:r>
            <w:proofErr w:type="spellEnd"/>
            <w:r w:rsidRPr="00A617F6">
              <w:rPr>
                <w:rFonts w:ascii="Times New Roman" w:hAnsi="Times New Roman"/>
                <w:sz w:val="24"/>
                <w:szCs w:val="24"/>
                <w:lang w:eastAsia="uk-UA"/>
              </w:rPr>
              <w:t xml:space="preserve"> </w:t>
            </w:r>
            <w:r>
              <w:rPr>
                <w:rFonts w:ascii="Times New Roman" w:hAnsi="Times New Roman"/>
                <w:sz w:val="24"/>
                <w:szCs w:val="24"/>
                <w:lang w:val="uk-UA" w:eastAsia="uk-UA"/>
              </w:rPr>
              <w:t>З</w:t>
            </w:r>
            <w:proofErr w:type="spellStart"/>
            <w:r w:rsidRPr="00A617F6">
              <w:rPr>
                <w:rFonts w:ascii="Times New Roman" w:hAnsi="Times New Roman"/>
                <w:sz w:val="24"/>
                <w:szCs w:val="24"/>
                <w:lang w:eastAsia="uk-UA"/>
              </w:rPr>
              <w:t>амовника</w:t>
            </w:r>
            <w:proofErr w:type="spellEnd"/>
            <w:r w:rsidRPr="00A617F6">
              <w:rPr>
                <w:rFonts w:ascii="Times New Roman" w:hAnsi="Times New Roman"/>
                <w:sz w:val="24"/>
                <w:szCs w:val="24"/>
                <w:lang w:eastAsia="uk-UA"/>
              </w:rPr>
              <w:t>.</w:t>
            </w:r>
            <w:r w:rsidR="004A6301" w:rsidRPr="00631D6C">
              <w:rPr>
                <w:rFonts w:ascii="Times New Roman" w:eastAsia="Times New Roman" w:hAnsi="Times New Roman" w:cs="Times New Roman"/>
                <w:color w:val="000000"/>
                <w:sz w:val="24"/>
                <w:szCs w:val="24"/>
                <w:lang w:val="uk-UA" w:eastAsia="ru-RU"/>
              </w:rPr>
              <w:t xml:space="preserve"> (</w:t>
            </w:r>
            <w:r w:rsidR="004A6301" w:rsidRPr="00631D6C">
              <w:rPr>
                <w:rFonts w:ascii="Times New Roman" w:eastAsia="Times New Roman" w:hAnsi="Times New Roman" w:cs="Times New Roman"/>
                <w:b/>
                <w:i/>
                <w:color w:val="000000"/>
                <w:sz w:val="24"/>
                <w:szCs w:val="24"/>
                <w:lang w:val="uk-UA" w:eastAsia="ru-RU"/>
              </w:rPr>
              <w:t>Додаток 3</w:t>
            </w:r>
            <w:r w:rsidR="004A6301"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00CB446"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226CAE4F"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3E67CE1D"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F5AF7F7"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4FE798DE"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2E06A33" w14:textId="3CCEA02E"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w:t>
            </w:r>
          </w:p>
          <w:p w14:paraId="7656C911"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7A6C8743"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розрахунки загальновиробничих витрат до локальних </w:t>
            </w:r>
            <w:r w:rsidRPr="00631D6C">
              <w:rPr>
                <w:rFonts w:ascii="Times New Roman" w:eastAsia="Times New Roman" w:hAnsi="Times New Roman" w:cs="Times New Roman"/>
                <w:color w:val="000000"/>
                <w:sz w:val="24"/>
                <w:szCs w:val="24"/>
                <w:lang w:val="uk-UA" w:eastAsia="ru-RU"/>
              </w:rPr>
              <w:lastRenderedPageBreak/>
              <w:t>кошторисів;</w:t>
            </w:r>
          </w:p>
          <w:p w14:paraId="308E1073"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5519D00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5A4ED551"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1D5A5B6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E71ED4A"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3A90C6B"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674E4B3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41A8A831" w14:textId="3724625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w:t>
            </w:r>
            <w:r w:rsidR="00AA755A">
              <w:rPr>
                <w:rFonts w:ascii="Times New Roman" w:eastAsia="Times New Roman" w:hAnsi="Times New Roman" w:cs="Times New Roman"/>
                <w:color w:val="000000"/>
                <w:sz w:val="24"/>
                <w:szCs w:val="24"/>
                <w:u w:val="single"/>
                <w:lang w:val="uk-UA" w:eastAsia="ru-RU"/>
              </w:rPr>
              <w:t>послуг</w:t>
            </w:r>
            <w:r w:rsidRPr="00631D6C">
              <w:rPr>
                <w:rFonts w:ascii="Times New Roman" w:eastAsia="Times New Roman" w:hAnsi="Times New Roman" w:cs="Times New Roman"/>
                <w:color w:val="000000"/>
                <w:sz w:val="24"/>
                <w:szCs w:val="24"/>
                <w:u w:val="single"/>
                <w:lang w:val="uk-UA" w:eastAsia="ru-RU"/>
              </w:rPr>
              <w:t xml:space="preserve">,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7E493B82"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A7CF704"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071D39F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74630BF" w14:textId="5DE3C992"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w:t>
            </w:r>
          </w:p>
          <w:p w14:paraId="2AC8CBB5"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743B9AB2"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2DAA847E"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01A9A9E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4E8758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4F1E874"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F6F8DB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59CB50B"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7DA41BC" w14:textId="117B6C14"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w:t>
            </w:r>
            <w:r w:rsidRPr="00631D6C">
              <w:rPr>
                <w:rFonts w:ascii="Times New Roman" w:eastAsia="Times New Roman" w:hAnsi="Times New Roman" w:cs="Times New Roman"/>
                <w:color w:val="000000"/>
                <w:sz w:val="24"/>
                <w:szCs w:val="24"/>
                <w:lang w:val="uk-UA" w:eastAsia="ru-RU"/>
              </w:rPr>
              <w:lastRenderedPageBreak/>
              <w:t xml:space="preserve">виконати замовлення визначається згідно предмету закупівлі у цілому виходячи з обсягів </w:t>
            </w:r>
            <w:r w:rsidR="00AA755A">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7B18A1DC" w14:textId="34B5751D"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w:t>
            </w:r>
            <w:r w:rsidR="00AA755A">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7B066995" w14:textId="21A9CF82"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w:t>
            </w:r>
            <w:r w:rsidR="0007404B">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з урахуванням </w:t>
            </w:r>
            <w:r w:rsidR="0007404B">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що виконуються субпідрядними організаціями та враховує витрати за використання відвалів будівельного сміття.</w:t>
            </w:r>
          </w:p>
          <w:p w14:paraId="400D724A"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5EE64FC8"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528AF917" w14:textId="5B4635BB"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24DCB46F" w14:textId="15AB8E9A" w:rsidR="00226213" w:rsidRPr="004A6301"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w:t>
            </w:r>
            <w:r w:rsidR="00580B3C">
              <w:rPr>
                <w:rFonts w:ascii="Times New Roman" w:eastAsia="Times New Roman" w:hAnsi="Times New Roman" w:cs="Times New Roman"/>
                <w:color w:val="000000"/>
                <w:sz w:val="24"/>
                <w:szCs w:val="24"/>
                <w:lang w:val="uk-UA" w:eastAsia="ru-RU"/>
              </w:rPr>
              <w:t>послуги</w:t>
            </w:r>
            <w:r w:rsidRPr="00631D6C">
              <w:rPr>
                <w:rFonts w:ascii="Times New Roman" w:eastAsia="Times New Roman" w:hAnsi="Times New Roman" w:cs="Times New Roman"/>
                <w:color w:val="000000"/>
                <w:sz w:val="24"/>
                <w:szCs w:val="24"/>
                <w:lang w:val="uk-UA" w:eastAsia="ru-RU"/>
              </w:rPr>
              <w:t>, запропоновані на торги, та самостійно несе всі витрати на отримання таких дозволів, ліцензій, сертифікатів.</w:t>
            </w:r>
          </w:p>
          <w:p w14:paraId="7FE36504" w14:textId="2166E9A5" w:rsidR="00226213" w:rsidRPr="00D906B9" w:rsidRDefault="00226213" w:rsidP="004A6301">
            <w:pPr>
              <w:ind w:right="-63" w:firstLine="331"/>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w:t>
            </w:r>
            <w:r w:rsidR="00AA755A">
              <w:rPr>
                <w:rFonts w:ascii="Times New Roman" w:hAnsi="Times New Roman" w:cs="Times New Roman"/>
                <w:sz w:val="24"/>
                <w:szCs w:val="24"/>
                <w:lang w:val="uk-UA" w:eastAsia="ar-SA"/>
              </w:rPr>
              <w:t>послуг</w:t>
            </w:r>
            <w:r w:rsidRPr="00706FD8">
              <w:rPr>
                <w:rFonts w:ascii="Times New Roman" w:hAnsi="Times New Roman" w:cs="Times New Roman"/>
                <w:sz w:val="24"/>
                <w:szCs w:val="24"/>
                <w:lang w:val="uk-UA" w:eastAsia="ar-SA"/>
              </w:rPr>
              <w:t xml:space="preserve">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 xml:space="preserve">представником Замовника </w:t>
            </w:r>
            <w:r>
              <w:rPr>
                <w:rFonts w:ascii="Times New Roman" w:hAnsi="Times New Roman" w:cs="Times New Roman"/>
                <w:sz w:val="24"/>
                <w:szCs w:val="24"/>
                <w:lang w:val="uk-UA" w:eastAsia="ar-SA"/>
              </w:rPr>
              <w:lastRenderedPageBreak/>
              <w:t>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21FD1D3D" w14:textId="44B3DB40" w:rsidR="005B0A5C" w:rsidRPr="004A6301" w:rsidRDefault="00226213" w:rsidP="004A6301">
            <w:pPr>
              <w:ind w:right="-63" w:firstLine="331"/>
              <w:jc w:val="both"/>
              <w:rPr>
                <w:rFonts w:ascii="Times New Roman" w:eastAsia="Calibri" w:hAnsi="Times New Roman" w:cs="Times New Roman"/>
                <w:color w:val="000000"/>
                <w:sz w:val="24"/>
                <w:szCs w:val="24"/>
                <w:lang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4249BDA4" w:rsidR="004C4FA6" w:rsidRPr="00B413F2" w:rsidRDefault="00066957" w:rsidP="005B0A5C">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sidR="00091960">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sidR="00091960">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sidR="00091960">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sidR="00091960">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343C2" w:rsidRPr="006D21A3" w14:paraId="0A2E9528" w14:textId="77777777" w:rsidTr="00B413F2">
        <w:tc>
          <w:tcPr>
            <w:tcW w:w="30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6D21A3"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693853">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7D908B2"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7742F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B27170" w:rsidRPr="00B27170">
              <w:rPr>
                <w:rFonts w:ascii="Times New Roman" w:eastAsia="Times New Roman" w:hAnsi="Times New Roman" w:cs="Times New Roman"/>
                <w:sz w:val="24"/>
                <w:szCs w:val="24"/>
                <w:lang w:val="uk-UA" w:eastAsia="ru-RU"/>
              </w:rPr>
              <w:t>11</w:t>
            </w:r>
            <w:r w:rsidR="00B30AB9" w:rsidRPr="00B27170">
              <w:rPr>
                <w:rFonts w:ascii="Times New Roman" w:eastAsia="Times New Roman" w:hAnsi="Times New Roman" w:cs="Times New Roman"/>
                <w:sz w:val="24"/>
                <w:szCs w:val="24"/>
                <w:lang w:val="uk-UA" w:eastAsia="ru-RU"/>
              </w:rPr>
              <w:t>.</w:t>
            </w:r>
            <w:r w:rsidR="00B27170" w:rsidRPr="00B27170">
              <w:rPr>
                <w:rFonts w:ascii="Times New Roman" w:eastAsia="Times New Roman" w:hAnsi="Times New Roman" w:cs="Times New Roman"/>
                <w:sz w:val="24"/>
                <w:szCs w:val="24"/>
                <w:lang w:val="uk-UA" w:eastAsia="ru-RU"/>
              </w:rPr>
              <w:t>11</w:t>
            </w:r>
            <w:r w:rsidR="00B30AB9" w:rsidRPr="00B27170">
              <w:rPr>
                <w:rFonts w:ascii="Times New Roman" w:eastAsia="Times New Roman" w:hAnsi="Times New Roman" w:cs="Times New Roman"/>
                <w:sz w:val="24"/>
                <w:szCs w:val="24"/>
                <w:lang w:val="uk-UA" w:eastAsia="ru-RU"/>
              </w:rPr>
              <w:t>.2023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6D21A3"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w:t>
            </w:r>
            <w:r w:rsidRPr="00316B47">
              <w:rPr>
                <w:rFonts w:ascii="Times New Roman" w:eastAsia="Times New Roman" w:hAnsi="Times New Roman"/>
                <w:sz w:val="24"/>
                <w:szCs w:val="24"/>
                <w:lang w:val="uk-UA" w:eastAsia="ru-RU"/>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6D21A3"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316B47">
              <w:rPr>
                <w:rFonts w:ascii="Times New Roman" w:eastAsia="Times New Roman" w:hAnsi="Times New Roman"/>
                <w:sz w:val="24"/>
                <w:szCs w:val="24"/>
                <w:lang w:val="uk-UA"/>
              </w:rPr>
              <w:lastRenderedPageBreak/>
              <w:t xml:space="preserve">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16B47">
              <w:rPr>
                <w:rFonts w:ascii="Times New Roman" w:eastAsia="Times New Roman" w:hAnsi="Times New Roman"/>
                <w:color w:val="000000" w:themeColor="text1"/>
                <w:sz w:val="24"/>
                <w:szCs w:val="24"/>
                <w:lang w:val="uk-UA"/>
              </w:rPr>
              <w:lastRenderedPageBreak/>
              <w:t>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316B47">
              <w:rPr>
                <w:rFonts w:ascii="Times New Roman" w:eastAsia="Times New Roman" w:hAnsi="Times New Roman"/>
                <w:color w:val="000000" w:themeColor="text1"/>
                <w:sz w:val="24"/>
                <w:szCs w:val="24"/>
                <w:lang w:val="uk-UA"/>
              </w:rPr>
              <w:lastRenderedPageBreak/>
              <w:t>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E8EEB2D" w14:textId="77777777" w:rsidR="004607D3" w:rsidRDefault="004607D3" w:rsidP="004607D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BE10D37" w14:textId="77777777" w:rsidR="004607D3" w:rsidRDefault="004607D3" w:rsidP="004607D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1A2AD6B" w14:textId="4129C35F" w:rsidR="004607D3" w:rsidRDefault="004607D3" w:rsidP="004607D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00DD9F29"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0FE48F32" w14:textId="29D0040A"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316B47">
              <w:rPr>
                <w:rFonts w:ascii="Times New Roman" w:hAnsi="Times New Roman"/>
                <w:sz w:val="24"/>
                <w:szCs w:val="24"/>
                <w:lang w:val="uk-UA"/>
              </w:rPr>
              <w:lastRenderedPageBreak/>
              <w:t xml:space="preserve">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3B5ADEB"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62C8002A" w14:textId="318AA503"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5278C9">
              <w:rPr>
                <w:rFonts w:ascii="Times New Roman" w:hAnsi="Times New Roman"/>
                <w:sz w:val="24"/>
                <w:szCs w:val="24"/>
                <w:lang w:val="uk-UA"/>
              </w:rPr>
              <w:t>О</w:t>
            </w:r>
            <w:r w:rsidRPr="00316B47">
              <w:rPr>
                <w:rFonts w:ascii="Times New Roman" w:hAnsi="Times New Roman"/>
                <w:sz w:val="24"/>
                <w:szCs w:val="24"/>
                <w:lang w:val="uk-UA"/>
              </w:rPr>
              <w:t>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316B47">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316B47">
              <w:rPr>
                <w:rFonts w:ascii="Times New Roman" w:hAnsi="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cs="Times New Roman"/>
                <w:sz w:val="24"/>
                <w:szCs w:val="24"/>
                <w:lang w:val="uk-UA" w:eastAsia="ru-RU"/>
              </w:rPr>
              <w:lastRenderedPageBreak/>
              <w:t>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316B47">
              <w:rPr>
                <w:rFonts w:ascii="Times New Roman" w:eastAsia="Times New Roman" w:hAnsi="Times New Roman"/>
                <w:sz w:val="24"/>
                <w:szCs w:val="24"/>
                <w:lang w:val="uk-UA" w:eastAsia="ru-RU"/>
              </w:rPr>
              <w:lastRenderedPageBreak/>
              <w:t>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017023BF" w14:textId="77777777" w:rsidR="00316B47" w:rsidRDefault="00316B47" w:rsidP="00E6493C">
      <w:pPr>
        <w:contextualSpacing/>
        <w:jc w:val="both"/>
        <w:rPr>
          <w:rFonts w:ascii="Times New Roman" w:hAnsi="Times New Roman" w:cs="Times New Roman"/>
          <w:b/>
          <w:bCs/>
          <w:sz w:val="24"/>
          <w:szCs w:val="24"/>
          <w:lang w:val="uk-UA"/>
        </w:rPr>
      </w:pPr>
    </w:p>
    <w:p w14:paraId="21B566AE" w14:textId="77777777" w:rsidR="00316B47" w:rsidRDefault="00316B47" w:rsidP="00E6493C">
      <w:pPr>
        <w:contextualSpacing/>
        <w:jc w:val="both"/>
        <w:rPr>
          <w:rFonts w:ascii="Times New Roman" w:hAnsi="Times New Roman" w:cs="Times New Roman"/>
          <w:b/>
          <w:bCs/>
          <w:sz w:val="24"/>
          <w:szCs w:val="24"/>
          <w:lang w:val="uk-UA"/>
        </w:rPr>
      </w:pPr>
    </w:p>
    <w:p w14:paraId="3761F55A" w14:textId="77777777" w:rsidR="00316B47" w:rsidRDefault="00316B47" w:rsidP="00E6493C">
      <w:pPr>
        <w:contextualSpacing/>
        <w:jc w:val="both"/>
        <w:rPr>
          <w:rFonts w:ascii="Times New Roman" w:hAnsi="Times New Roman" w:cs="Times New Roman"/>
          <w:b/>
          <w:bCs/>
          <w:sz w:val="24"/>
          <w:szCs w:val="24"/>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2"/>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3"/>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1"/>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0"/>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7404B"/>
    <w:rsid w:val="00085378"/>
    <w:rsid w:val="00087D06"/>
    <w:rsid w:val="00091960"/>
    <w:rsid w:val="000A5534"/>
    <w:rsid w:val="000C48B2"/>
    <w:rsid w:val="000F34C3"/>
    <w:rsid w:val="001071B3"/>
    <w:rsid w:val="001359D1"/>
    <w:rsid w:val="00164776"/>
    <w:rsid w:val="0017148D"/>
    <w:rsid w:val="00177C2F"/>
    <w:rsid w:val="001A36DB"/>
    <w:rsid w:val="001C1B8C"/>
    <w:rsid w:val="001D6873"/>
    <w:rsid w:val="0020539D"/>
    <w:rsid w:val="00225159"/>
    <w:rsid w:val="00226213"/>
    <w:rsid w:val="0023021B"/>
    <w:rsid w:val="0024015B"/>
    <w:rsid w:val="00253716"/>
    <w:rsid w:val="00262241"/>
    <w:rsid w:val="002626D5"/>
    <w:rsid w:val="002768B6"/>
    <w:rsid w:val="002B577D"/>
    <w:rsid w:val="002B7C60"/>
    <w:rsid w:val="003011EF"/>
    <w:rsid w:val="0030594B"/>
    <w:rsid w:val="00316B47"/>
    <w:rsid w:val="00391BCD"/>
    <w:rsid w:val="003D773C"/>
    <w:rsid w:val="003E17D7"/>
    <w:rsid w:val="003E4E10"/>
    <w:rsid w:val="003F6503"/>
    <w:rsid w:val="00401D7C"/>
    <w:rsid w:val="004041EC"/>
    <w:rsid w:val="004072DC"/>
    <w:rsid w:val="00427DE2"/>
    <w:rsid w:val="0045036E"/>
    <w:rsid w:val="00456CA9"/>
    <w:rsid w:val="004607D3"/>
    <w:rsid w:val="004A6301"/>
    <w:rsid w:val="004B1925"/>
    <w:rsid w:val="004B2D35"/>
    <w:rsid w:val="004B3D0D"/>
    <w:rsid w:val="004C22A2"/>
    <w:rsid w:val="004C4FA6"/>
    <w:rsid w:val="004E52BB"/>
    <w:rsid w:val="00502948"/>
    <w:rsid w:val="005278C9"/>
    <w:rsid w:val="00566EE2"/>
    <w:rsid w:val="00580B3C"/>
    <w:rsid w:val="00581DB6"/>
    <w:rsid w:val="005B0A5C"/>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6135"/>
    <w:rsid w:val="006D0931"/>
    <w:rsid w:val="006D21A3"/>
    <w:rsid w:val="006D666D"/>
    <w:rsid w:val="006F252D"/>
    <w:rsid w:val="00706BAD"/>
    <w:rsid w:val="007157DD"/>
    <w:rsid w:val="00717447"/>
    <w:rsid w:val="007509E9"/>
    <w:rsid w:val="007616CA"/>
    <w:rsid w:val="0077041B"/>
    <w:rsid w:val="00771A4B"/>
    <w:rsid w:val="007742F4"/>
    <w:rsid w:val="00774478"/>
    <w:rsid w:val="007A2C33"/>
    <w:rsid w:val="007A34BA"/>
    <w:rsid w:val="007B33FD"/>
    <w:rsid w:val="007C367E"/>
    <w:rsid w:val="007D6D54"/>
    <w:rsid w:val="007F1012"/>
    <w:rsid w:val="008048C4"/>
    <w:rsid w:val="0082639F"/>
    <w:rsid w:val="00837FBB"/>
    <w:rsid w:val="00852BE3"/>
    <w:rsid w:val="008809F6"/>
    <w:rsid w:val="00897BF9"/>
    <w:rsid w:val="008E52A5"/>
    <w:rsid w:val="008F49C3"/>
    <w:rsid w:val="008F54BC"/>
    <w:rsid w:val="0091686F"/>
    <w:rsid w:val="00953A6E"/>
    <w:rsid w:val="00967D3F"/>
    <w:rsid w:val="0097711D"/>
    <w:rsid w:val="009A15E8"/>
    <w:rsid w:val="009B3B2F"/>
    <w:rsid w:val="009C75F6"/>
    <w:rsid w:val="009D0E50"/>
    <w:rsid w:val="00A06D4F"/>
    <w:rsid w:val="00A07EAE"/>
    <w:rsid w:val="00A230EA"/>
    <w:rsid w:val="00A231F2"/>
    <w:rsid w:val="00A32341"/>
    <w:rsid w:val="00A51661"/>
    <w:rsid w:val="00A52A40"/>
    <w:rsid w:val="00A80F61"/>
    <w:rsid w:val="00A81BDA"/>
    <w:rsid w:val="00A91173"/>
    <w:rsid w:val="00AA6430"/>
    <w:rsid w:val="00AA755A"/>
    <w:rsid w:val="00AC2592"/>
    <w:rsid w:val="00AC3EBA"/>
    <w:rsid w:val="00AC4178"/>
    <w:rsid w:val="00AC47DF"/>
    <w:rsid w:val="00B02106"/>
    <w:rsid w:val="00B060FF"/>
    <w:rsid w:val="00B11154"/>
    <w:rsid w:val="00B12020"/>
    <w:rsid w:val="00B13D90"/>
    <w:rsid w:val="00B27170"/>
    <w:rsid w:val="00B30AB9"/>
    <w:rsid w:val="00B413F2"/>
    <w:rsid w:val="00B86050"/>
    <w:rsid w:val="00B8704B"/>
    <w:rsid w:val="00B96B77"/>
    <w:rsid w:val="00BD54BF"/>
    <w:rsid w:val="00BD6F43"/>
    <w:rsid w:val="00BE72E3"/>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C1525"/>
    <w:rsid w:val="00CD14E6"/>
    <w:rsid w:val="00CD42D5"/>
    <w:rsid w:val="00CE439C"/>
    <w:rsid w:val="00CE7D1C"/>
    <w:rsid w:val="00CF103F"/>
    <w:rsid w:val="00D0542B"/>
    <w:rsid w:val="00D15F4A"/>
    <w:rsid w:val="00D6077D"/>
    <w:rsid w:val="00DA28B9"/>
    <w:rsid w:val="00DC0363"/>
    <w:rsid w:val="00DC5CA0"/>
    <w:rsid w:val="00DC7484"/>
    <w:rsid w:val="00E01EE1"/>
    <w:rsid w:val="00E31837"/>
    <w:rsid w:val="00E31A0F"/>
    <w:rsid w:val="00E3345B"/>
    <w:rsid w:val="00E531B0"/>
    <w:rsid w:val="00E6493C"/>
    <w:rsid w:val="00E65A65"/>
    <w:rsid w:val="00E96C1A"/>
    <w:rsid w:val="00EA2F86"/>
    <w:rsid w:val="00EA54F9"/>
    <w:rsid w:val="00EB71CF"/>
    <w:rsid w:val="00ED2626"/>
    <w:rsid w:val="00EF01CF"/>
    <w:rsid w:val="00F057C0"/>
    <w:rsid w:val="00F33896"/>
    <w:rsid w:val="00F60E00"/>
    <w:rsid w:val="00F6155E"/>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bmvktender@ukr.net" TargetMode="External"/><Relationship Id="rId5" Type="http://schemas.openxmlformats.org/officeDocument/2006/relationships/hyperlink" Target="mailto:ukbmvk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29</Pages>
  <Words>36214</Words>
  <Characters>20643</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Шкута</cp:lastModifiedBy>
  <cp:revision>28</cp:revision>
  <dcterms:created xsi:type="dcterms:W3CDTF">2023-08-15T12:32:00Z</dcterms:created>
  <dcterms:modified xsi:type="dcterms:W3CDTF">2023-11-03T14:31:00Z</dcterms:modified>
</cp:coreProperties>
</file>