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6" w:rsidRDefault="00CB39D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39D6" w:rsidRDefault="00C824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B39D6" w:rsidRDefault="00C824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39D6" w:rsidRDefault="00C824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tbl>
      <w:tblPr>
        <w:tblW w:w="100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83"/>
        <w:gridCol w:w="1984"/>
        <w:gridCol w:w="1533"/>
        <w:gridCol w:w="4138"/>
        <w:gridCol w:w="1031"/>
        <w:gridCol w:w="882"/>
      </w:tblGrid>
      <w:tr w:rsidR="00027AE5" w:rsidRPr="00F76E07" w:rsidTr="00027AE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№</w:t>
            </w:r>
          </w:p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п\п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Код національного класифікатора НК 024:2019 «Класифікатор медичних виробів»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Назва предмету закупівлі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Технічні характеристики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Одиниці</w:t>
            </w:r>
          </w:p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виміру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AE5" w:rsidRPr="00F76E07" w:rsidRDefault="00027AE5" w:rsidP="00642533">
            <w:pPr>
              <w:spacing w:line="100" w:lineRule="atLeast"/>
              <w:jc w:val="center"/>
            </w:pPr>
            <w:r w:rsidRPr="00F76E07">
              <w:rPr>
                <w:sz w:val="20"/>
                <w:szCs w:val="20"/>
              </w:rPr>
              <w:t>Кількість</w:t>
            </w:r>
          </w:p>
        </w:tc>
      </w:tr>
      <w:tr w:rsidR="00027AE5" w:rsidRPr="00F76E07" w:rsidTr="00027AE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color w:val="000000"/>
                <w:sz w:val="20"/>
                <w:szCs w:val="20"/>
              </w:rPr>
              <w:t xml:space="preserve">58237 - Буферний розчинник зразків ІВД, автоматичні / напівавтоматичні системи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ABX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Minidil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LMG 20 л (L), ізотонічний розчин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складу реагенту повинні входити наступні інгредієнти: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Органічний буфер менше 1000 мл               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Консервант менше 20 мл.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 розчину повинен бути в діапазоні 7,0 ± 0,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Адаптовані</w:t>
            </w:r>
            <w:proofErr w:type="spellEnd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аналізатора</w:t>
            </w:r>
            <w:proofErr w:type="spellEnd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автоматичного гематологічного серії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ABX </w:t>
            </w:r>
            <w:proofErr w:type="spellStart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Micros</w:t>
            </w:r>
            <w:proofErr w:type="spellEnd"/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027AE5" w:rsidRPr="00F76E07" w:rsidTr="00027AE5">
        <w:trPr>
          <w:trHeight w:val="156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color w:val="000000"/>
                <w:sz w:val="20"/>
                <w:szCs w:val="20"/>
              </w:rPr>
              <w:t xml:space="preserve">61165 - Реагент для лізису клітин крові ІВД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ABX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Minilyse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LMG 1 л (L),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лізуючий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розчин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складу реагенту повинні входити наступні інгредієнти: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Лізуюча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речовина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 1 мл</w:t>
            </w: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Детергент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 50 мл.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 розчину повинен бути в діапазоні 10,17 ± 0,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Адаптовані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аналізатора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автоматичного гематологічного серії </w:t>
            </w:r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ABX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Micros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027AE5" w:rsidRPr="00F76E07" w:rsidTr="00027AE5">
        <w:trPr>
          <w:trHeight w:val="1563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color w:val="000000"/>
                <w:sz w:val="20"/>
                <w:szCs w:val="20"/>
              </w:rPr>
              <w:t xml:space="preserve">59058 - Миючий / </w:t>
            </w:r>
            <w:proofErr w:type="spellStart"/>
            <w:r w:rsidRPr="00F76E07">
              <w:rPr>
                <w:color w:val="000000"/>
                <w:sz w:val="20"/>
                <w:szCs w:val="20"/>
              </w:rPr>
              <w:t>очищуючий</w:t>
            </w:r>
            <w:proofErr w:type="spellEnd"/>
            <w:r w:rsidRPr="00F76E07">
              <w:rPr>
                <w:color w:val="000000"/>
                <w:sz w:val="20"/>
                <w:szCs w:val="20"/>
              </w:rPr>
              <w:t xml:space="preserve"> розчин ІВД, для автоматизованих / </w:t>
            </w:r>
            <w:proofErr w:type="spellStart"/>
            <w:r w:rsidRPr="00F76E07">
              <w:rPr>
                <w:color w:val="000000"/>
                <w:sz w:val="20"/>
                <w:szCs w:val="20"/>
              </w:rPr>
              <w:t>полуавтоматізіванних</w:t>
            </w:r>
            <w:proofErr w:type="spellEnd"/>
            <w:r w:rsidRPr="00F76E07">
              <w:rPr>
                <w:color w:val="000000"/>
                <w:sz w:val="20"/>
                <w:szCs w:val="20"/>
              </w:rPr>
              <w:t xml:space="preserve"> систем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ABX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1 л (L), ферментативний розчин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складу реагенту повинні входити наступні інгредієнти: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Органічний буфер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 50 мл</w:t>
            </w: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Протеолітичний ензим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 10 мл</w:t>
            </w: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Консервант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менше 10 мл.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 розчину повинен бути в діапазоні 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0,</w:t>
            </w:r>
            <w:r w:rsidRPr="00F76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Адаптовані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</w:t>
            </w: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аналізатора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автоматичного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гематологічного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серії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ABX </w:t>
            </w:r>
            <w:proofErr w:type="spellStart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Micros</w:t>
            </w:r>
            <w:proofErr w:type="spellEnd"/>
            <w:r w:rsidRPr="00F76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027AE5" w:rsidRPr="00F76E07" w:rsidTr="00027AE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color w:val="000000"/>
                <w:sz w:val="20"/>
                <w:szCs w:val="20"/>
              </w:rPr>
              <w:t>55866 - Підрахунок клітин крові IVD, контрольний матеріал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240" w:lineRule="auto"/>
              <w:ind w:right="-108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 xml:space="preserve">ABX </w:t>
            </w:r>
            <w:proofErr w:type="spellStart"/>
            <w:r w:rsidRPr="00F76E07">
              <w:rPr>
                <w:sz w:val="20"/>
                <w:szCs w:val="20"/>
              </w:rPr>
              <w:t>Minotrol</w:t>
            </w:r>
            <w:proofErr w:type="spellEnd"/>
            <w:r w:rsidRPr="00F76E07">
              <w:rPr>
                <w:sz w:val="20"/>
                <w:szCs w:val="20"/>
              </w:rPr>
              <w:t xml:space="preserve"> 16 (2N), розчин для контролю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В наборі 2 флакони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Контрольні значення не менше як для 1</w:t>
            </w:r>
            <w:r w:rsidRPr="00F76E07">
              <w:rPr>
                <w:sz w:val="20"/>
                <w:szCs w:val="20"/>
                <w:lang w:val="ru-RU"/>
              </w:rPr>
              <w:t xml:space="preserve">5 </w:t>
            </w:r>
            <w:r w:rsidRPr="00F76E07">
              <w:rPr>
                <w:sz w:val="20"/>
                <w:szCs w:val="20"/>
              </w:rPr>
              <w:t>параметрів, обов’язкова наявність таких параметрів лімфоцити, гранулоцити, моноцити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 xml:space="preserve">Адаптовані для аналізатора автоматичного гематологічного серії ABX </w:t>
            </w:r>
            <w:proofErr w:type="spellStart"/>
            <w:r w:rsidRPr="00F76E07">
              <w:rPr>
                <w:sz w:val="20"/>
                <w:szCs w:val="20"/>
              </w:rPr>
              <w:t>Micros</w:t>
            </w:r>
            <w:proofErr w:type="spellEnd"/>
            <w:r w:rsidRPr="00F76E07">
              <w:rPr>
                <w:sz w:val="20"/>
                <w:szCs w:val="20"/>
              </w:rPr>
              <w:t xml:space="preserve"> 60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Діапазон нормальних значень для вимірювання</w:t>
            </w:r>
            <w:r w:rsidRPr="00F76E07">
              <w:rPr>
                <w:sz w:val="20"/>
                <w:szCs w:val="20"/>
                <w:lang w:val="ru-RU"/>
              </w:rPr>
              <w:t xml:space="preserve"> </w:t>
            </w:r>
            <w:r w:rsidRPr="00F76E07">
              <w:rPr>
                <w:sz w:val="20"/>
                <w:szCs w:val="20"/>
              </w:rPr>
              <w:t>для: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6E07">
              <w:rPr>
                <w:sz w:val="20"/>
                <w:szCs w:val="20"/>
                <w:lang w:val="en-US"/>
              </w:rPr>
              <w:t>WBC</w:t>
            </w:r>
            <w:r w:rsidRPr="00F76E07">
              <w:rPr>
                <w:sz w:val="20"/>
                <w:szCs w:val="20"/>
              </w:rPr>
              <w:t xml:space="preserve"> не більше ±0,8 10</w:t>
            </w:r>
            <w:r w:rsidRPr="00F76E07">
              <w:rPr>
                <w:sz w:val="20"/>
                <w:szCs w:val="20"/>
                <w:vertAlign w:val="superscript"/>
                <w:lang w:val="ru-RU"/>
              </w:rPr>
              <w:t>9</w:t>
            </w:r>
            <w:r w:rsidRPr="00F76E07">
              <w:rPr>
                <w:sz w:val="20"/>
                <w:szCs w:val="20"/>
              </w:rPr>
              <w:t>/</w:t>
            </w:r>
            <w:r w:rsidRPr="00F76E07">
              <w:rPr>
                <w:sz w:val="20"/>
                <w:szCs w:val="20"/>
                <w:lang w:val="en-US"/>
              </w:rPr>
              <w:t>L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F76E07">
              <w:rPr>
                <w:sz w:val="20"/>
                <w:szCs w:val="20"/>
                <w:lang w:val="en-US"/>
              </w:rPr>
              <w:t>Hct</w:t>
            </w:r>
            <w:proofErr w:type="spellEnd"/>
            <w:r w:rsidRPr="00F76E07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6E07">
              <w:rPr>
                <w:sz w:val="20"/>
                <w:szCs w:val="20"/>
                <w:lang w:val="ru-RU"/>
              </w:rPr>
              <w:t>більше</w:t>
            </w:r>
            <w:proofErr w:type="spellEnd"/>
            <w:r w:rsidRPr="00F76E07">
              <w:rPr>
                <w:sz w:val="20"/>
                <w:szCs w:val="20"/>
                <w:lang w:val="ru-RU"/>
              </w:rPr>
              <w:t xml:space="preserve"> ±2</w:t>
            </w:r>
            <w:r w:rsidRPr="00F76E07">
              <w:rPr>
                <w:sz w:val="20"/>
                <w:szCs w:val="20"/>
              </w:rPr>
              <w:t>,</w:t>
            </w:r>
            <w:r w:rsidRPr="00F76E07">
              <w:rPr>
                <w:sz w:val="20"/>
                <w:szCs w:val="20"/>
                <w:lang w:val="ru-RU"/>
              </w:rPr>
              <w:t>7 %</w:t>
            </w:r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6E07">
              <w:rPr>
                <w:sz w:val="20"/>
                <w:szCs w:val="20"/>
                <w:lang w:val="en-US"/>
              </w:rPr>
              <w:t>MCV</w:t>
            </w:r>
            <w:r w:rsidRPr="00F76E07">
              <w:rPr>
                <w:sz w:val="20"/>
                <w:szCs w:val="20"/>
              </w:rPr>
              <w:t xml:space="preserve"> </w:t>
            </w:r>
            <w:r w:rsidRPr="00F76E07">
              <w:rPr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F76E07">
              <w:rPr>
                <w:sz w:val="20"/>
                <w:szCs w:val="20"/>
                <w:lang w:val="ru-RU"/>
              </w:rPr>
              <w:t>більше</w:t>
            </w:r>
            <w:proofErr w:type="spellEnd"/>
            <w:r w:rsidRPr="00F76E07">
              <w:rPr>
                <w:sz w:val="20"/>
                <w:szCs w:val="20"/>
                <w:lang w:val="ru-RU"/>
              </w:rPr>
              <w:t xml:space="preserve"> ±4 </w:t>
            </w:r>
            <w:proofErr w:type="spellStart"/>
            <w:r w:rsidRPr="00F76E07">
              <w:rPr>
                <w:sz w:val="20"/>
                <w:szCs w:val="20"/>
                <w:lang w:val="en-US"/>
              </w:rPr>
              <w:t>fl</w:t>
            </w:r>
            <w:proofErr w:type="spellEnd"/>
          </w:p>
          <w:p w:rsidR="00027AE5" w:rsidRPr="00F76E07" w:rsidRDefault="00027AE5" w:rsidP="00027AE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6E07">
              <w:rPr>
                <w:sz w:val="20"/>
                <w:szCs w:val="20"/>
                <w:lang w:val="en-US"/>
              </w:rPr>
              <w:t>RDW</w:t>
            </w:r>
            <w:r w:rsidRPr="00F76E07">
              <w:rPr>
                <w:sz w:val="20"/>
                <w:szCs w:val="20"/>
              </w:rPr>
              <w:t xml:space="preserve"> </w:t>
            </w:r>
            <w:r w:rsidRPr="00F76E07">
              <w:rPr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F76E07">
              <w:rPr>
                <w:sz w:val="20"/>
                <w:szCs w:val="20"/>
                <w:lang w:val="ru-RU"/>
              </w:rPr>
              <w:t>більше</w:t>
            </w:r>
            <w:proofErr w:type="spellEnd"/>
            <w:r w:rsidRPr="00F76E07">
              <w:rPr>
                <w:sz w:val="20"/>
                <w:szCs w:val="20"/>
                <w:lang w:val="ru-RU"/>
              </w:rPr>
              <w:t xml:space="preserve"> ±3 %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7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</w:pPr>
            <w:bookmarkStart w:id="0" w:name="_GoBack1"/>
            <w:bookmarkEnd w:id="0"/>
            <w:r>
              <w:rPr>
                <w:sz w:val="20"/>
                <w:szCs w:val="20"/>
              </w:rPr>
              <w:t>20</w:t>
            </w:r>
          </w:p>
        </w:tc>
      </w:tr>
      <w:tr w:rsidR="00027AE5" w:rsidRPr="00F76E07" w:rsidTr="00027AE5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color w:val="000000"/>
                <w:sz w:val="20"/>
                <w:szCs w:val="20"/>
              </w:rPr>
              <w:t>58143 - Пробірка для збору зразків крові не вакуумна ІВД, з K3EDTA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 xml:space="preserve">Система для забору крові з капіляром 200 </w:t>
            </w:r>
            <w:proofErr w:type="spellStart"/>
            <w:r w:rsidRPr="00F76E07">
              <w:rPr>
                <w:sz w:val="20"/>
                <w:szCs w:val="20"/>
              </w:rPr>
              <w:t>мкл</w:t>
            </w:r>
            <w:proofErr w:type="spellEnd"/>
            <w:r w:rsidRPr="00F76E07">
              <w:rPr>
                <w:sz w:val="20"/>
                <w:szCs w:val="20"/>
              </w:rPr>
              <w:t xml:space="preserve"> EDTA-К3 червона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F76E07">
              <w:rPr>
                <w:sz w:val="20"/>
                <w:szCs w:val="20"/>
              </w:rPr>
              <w:t xml:space="preserve">Пластикова </w:t>
            </w:r>
            <w:proofErr w:type="spellStart"/>
            <w:r w:rsidRPr="00F76E07">
              <w:rPr>
                <w:sz w:val="20"/>
                <w:szCs w:val="20"/>
              </w:rPr>
              <w:t>мікропробірка</w:t>
            </w:r>
            <w:proofErr w:type="spellEnd"/>
            <w:r w:rsidRPr="00F76E07">
              <w:rPr>
                <w:sz w:val="20"/>
                <w:szCs w:val="20"/>
              </w:rPr>
              <w:t xml:space="preserve"> з вбудованим капіляром «</w:t>
            </w:r>
            <w:proofErr w:type="spellStart"/>
            <w:r w:rsidRPr="00F76E07">
              <w:rPr>
                <w:sz w:val="20"/>
                <w:szCs w:val="20"/>
              </w:rPr>
              <w:t>end-to-end</w:t>
            </w:r>
            <w:proofErr w:type="spellEnd"/>
            <w:r w:rsidRPr="00F76E07">
              <w:rPr>
                <w:sz w:val="20"/>
                <w:szCs w:val="20"/>
              </w:rPr>
              <w:t xml:space="preserve">» та з прикріпленою кришкою на петлі, яка захлопується, капіляр повинен буди вбудований в пластикову основу та щільно входити в отвір </w:t>
            </w:r>
            <w:proofErr w:type="spellStart"/>
            <w:r w:rsidRPr="00F76E07">
              <w:rPr>
                <w:sz w:val="20"/>
                <w:szCs w:val="20"/>
              </w:rPr>
              <w:t>мікропробірки</w:t>
            </w:r>
            <w:proofErr w:type="spellEnd"/>
            <w:r w:rsidRPr="00F76E07">
              <w:rPr>
                <w:sz w:val="20"/>
                <w:szCs w:val="20"/>
              </w:rPr>
              <w:t xml:space="preserve">, об’єм капіляру має забезпечувати набір 200 </w:t>
            </w:r>
            <w:proofErr w:type="spellStart"/>
            <w:r w:rsidRPr="00F76E07">
              <w:rPr>
                <w:sz w:val="20"/>
                <w:szCs w:val="20"/>
              </w:rPr>
              <w:t>мкл</w:t>
            </w:r>
            <w:proofErr w:type="spellEnd"/>
            <w:r w:rsidRPr="00F76E07">
              <w:rPr>
                <w:sz w:val="20"/>
                <w:szCs w:val="20"/>
              </w:rPr>
              <w:t>, з вмістом К3ЕДТА. Антикоагулянт К3ЕДТА нанесений розпиленням на внутрішню стінку пробірки та капіляра. Кількість пробірок в нероздільній первинній упаковці не повинна перевищувати 50 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F76E0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AE5" w:rsidRPr="00F76E07" w:rsidRDefault="00027AE5" w:rsidP="0064253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bookmarkStart w:id="1" w:name="_GoBack"/>
            <w:bookmarkEnd w:id="1"/>
            <w:r w:rsidRPr="00F76E07">
              <w:rPr>
                <w:sz w:val="20"/>
                <w:szCs w:val="20"/>
              </w:rPr>
              <w:t>000</w:t>
            </w:r>
          </w:p>
        </w:tc>
      </w:tr>
    </w:tbl>
    <w:p w:rsidR="00027AE5" w:rsidRPr="00F76E07" w:rsidRDefault="00027AE5" w:rsidP="00027AE5">
      <w:pPr>
        <w:widowControl w:val="0"/>
        <w:shd w:val="clear" w:color="auto" w:fill="FFFFFF"/>
        <w:tabs>
          <w:tab w:val="left" w:pos="0"/>
          <w:tab w:val="center" w:pos="4153"/>
          <w:tab w:val="right" w:pos="8306"/>
        </w:tabs>
        <w:spacing w:line="200" w:lineRule="atLeast"/>
      </w:pPr>
    </w:p>
    <w:p w:rsidR="00027AE5" w:rsidRPr="00F76E07" w:rsidRDefault="00027AE5" w:rsidP="00027AE5">
      <w:pPr>
        <w:jc w:val="both"/>
        <w:rPr>
          <w:color w:val="000000"/>
        </w:rPr>
      </w:pPr>
      <w:r w:rsidRPr="00F76E07">
        <w:rPr>
          <w:color w:val="000000"/>
        </w:rPr>
        <w:lastRenderedPageBreak/>
        <w:t xml:space="preserve"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027AE5" w:rsidRPr="00F76E07" w:rsidRDefault="00027AE5" w:rsidP="00027AE5">
      <w:pPr>
        <w:jc w:val="both"/>
        <w:rPr>
          <w:color w:val="000000"/>
        </w:rPr>
      </w:pPr>
      <w:r w:rsidRPr="00F76E07">
        <w:rPr>
          <w:color w:val="000000"/>
        </w:rPr>
        <w:t>Еквівалентом (аналогом) товару в розумінні даної тендерної документації є товар, якість, концентрація та інші стандартні характеристики товару абсолютно співпадають з характеристиками препарату, що є предметом закупівлі.</w:t>
      </w:r>
    </w:p>
    <w:p w:rsidR="00027AE5" w:rsidRPr="00F76E07" w:rsidRDefault="00027AE5" w:rsidP="00027AE5">
      <w:pPr>
        <w:spacing w:line="200" w:lineRule="atLeast"/>
        <w:jc w:val="both"/>
      </w:pPr>
      <w:r w:rsidRPr="00F76E07">
        <w:rPr>
          <w:color w:val="000000"/>
        </w:rPr>
        <w:t>Стандартні характеристики еквіваленту товару на який відбувається заміна повинні відповідати вимогам діючих стандартів щодо даних товарів. (У разі надання еквіваленту товару, учасник надає документи, які підтверджують повну відповідність товару, а саме: детальне обґрунтування співвідношення складу активних діючих речовин запропонованого товару, копії сертифікату якості (паспорта), копії інструкцій на запропоновані еквіваленти. У разі відсутності таких підтверджуючих документів, запропонований як еквівалент, товар оцінюватись не буде).</w:t>
      </w:r>
    </w:p>
    <w:p w:rsidR="00027AE5" w:rsidRPr="00F76E07" w:rsidRDefault="00027AE5" w:rsidP="00027AE5">
      <w:pPr>
        <w:spacing w:line="200" w:lineRule="atLeast"/>
        <w:jc w:val="both"/>
        <w:rPr>
          <w:color w:val="000000"/>
        </w:rPr>
      </w:pPr>
      <w:r w:rsidRPr="00F76E07">
        <w:rPr>
          <w:bCs/>
          <w:color w:val="000000"/>
        </w:rPr>
        <w:t xml:space="preserve">Якість </w:t>
      </w:r>
      <w:r w:rsidRPr="00F76E07">
        <w:rPr>
          <w:color w:val="000000"/>
        </w:rPr>
        <w:t xml:space="preserve">товару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 виробника, відповідності, </w:t>
      </w:r>
      <w:r w:rsidRPr="00F76E07">
        <w:rPr>
          <w:bCs/>
          <w:color w:val="000000"/>
        </w:rPr>
        <w:t xml:space="preserve">реєстраційне посвідчення, </w:t>
      </w:r>
      <w:r w:rsidRPr="00F76E07">
        <w:rPr>
          <w:color w:val="000000"/>
        </w:rPr>
        <w:t xml:space="preserve">висновком державної санітарно-гігієнічної експертизи, або інший подібний документ, повинен бути оформлений відповідно вимог законодавства України. </w:t>
      </w:r>
    </w:p>
    <w:p w:rsidR="00027AE5" w:rsidRPr="00F76E07" w:rsidRDefault="00027AE5" w:rsidP="00027AE5">
      <w:pPr>
        <w:spacing w:line="200" w:lineRule="atLeast"/>
        <w:jc w:val="both"/>
        <w:rPr>
          <w:b/>
          <w:bCs/>
          <w:color w:val="000000"/>
          <w:u w:val="single"/>
        </w:rPr>
      </w:pPr>
      <w:r w:rsidRPr="00F76E07">
        <w:rPr>
          <w:color w:val="000000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</w:t>
      </w:r>
    </w:p>
    <w:p w:rsidR="00027AE5" w:rsidRPr="00F76E07" w:rsidRDefault="00027AE5" w:rsidP="00027AE5">
      <w:pPr>
        <w:spacing w:line="200" w:lineRule="atLeast"/>
        <w:jc w:val="both"/>
        <w:rPr>
          <w:color w:val="000000"/>
        </w:rPr>
      </w:pPr>
      <w:r w:rsidRPr="00F76E07">
        <w:rPr>
          <w:bCs/>
          <w:color w:val="000000"/>
        </w:rPr>
        <w:t xml:space="preserve">Доставка </w:t>
      </w:r>
      <w:r w:rsidRPr="00F76E07">
        <w:rPr>
          <w:color w:val="000000"/>
        </w:rPr>
        <w:t xml:space="preserve">товару до кабінету, завантажувальні, розвантажувальні роботи здійснюються </w:t>
      </w:r>
      <w:r w:rsidRPr="00F76E07">
        <w:rPr>
          <w:bCs/>
          <w:color w:val="000000"/>
        </w:rPr>
        <w:t xml:space="preserve">з дотриманням температурного режиму, вказаного в інструкції до товарів </w:t>
      </w:r>
      <w:r w:rsidRPr="00F76E07">
        <w:rPr>
          <w:color w:val="000000"/>
        </w:rPr>
        <w:t>транспортом постачальника чи транспортом перевізника за рахунок постачальника.</w:t>
      </w:r>
    </w:p>
    <w:p w:rsidR="00027AE5" w:rsidRPr="00F76E07" w:rsidRDefault="00027AE5" w:rsidP="00027AE5">
      <w:pPr>
        <w:spacing w:line="200" w:lineRule="atLeast"/>
        <w:jc w:val="both"/>
      </w:pPr>
      <w:r w:rsidRPr="00F76E07">
        <w:rPr>
          <w:bCs/>
          <w:color w:val="000000"/>
        </w:rPr>
        <w:t xml:space="preserve">Упаковка </w:t>
      </w:r>
      <w:r w:rsidRPr="00F76E07">
        <w:rPr>
          <w:color w:val="000000"/>
        </w:rPr>
        <w:t>Товару повинна відповідати санітарним нормам даного виду продукції України. Упаковка не повинна бути пошкоджена, розкрита, не укомплектована чи недоукомплектована. Товар повинен бути упакований таким чином, щоб запобігати псуванню та знищенню в період доставки його другій Стороні.</w:t>
      </w:r>
    </w:p>
    <w:p w:rsidR="00027AE5" w:rsidRPr="00F76E07" w:rsidRDefault="00027AE5" w:rsidP="00027AE5">
      <w:pPr>
        <w:spacing w:line="200" w:lineRule="atLeast"/>
        <w:jc w:val="both"/>
      </w:pPr>
      <w:r w:rsidRPr="00F76E07">
        <w:t>Залишковий термін придатності товарів на момент постачання повинен складати не менше 75% загального терміну їх зберігання, встановленого в інструкції по використанню.</w:t>
      </w:r>
    </w:p>
    <w:p w:rsidR="00027AE5" w:rsidRPr="00F76E07" w:rsidRDefault="00027AE5" w:rsidP="00027AE5">
      <w:pPr>
        <w:pStyle w:val="3"/>
        <w:spacing w:before="0" w:line="200" w:lineRule="atLeast"/>
        <w:jc w:val="center"/>
      </w:pPr>
    </w:p>
    <w:p w:rsidR="00C8246B" w:rsidRDefault="00C8246B" w:rsidP="00C8246B">
      <w:pPr>
        <w:spacing w:after="0" w:line="200" w:lineRule="atLeast"/>
        <w:ind w:right="22"/>
        <w:jc w:val="center"/>
        <w:rPr>
          <w:rFonts w:eastAsia="Arial"/>
          <w:b/>
          <w:color w:val="000000"/>
          <w:shd w:val="clear" w:color="auto" w:fill="FFFFFF"/>
        </w:rPr>
      </w:pPr>
      <w:r>
        <w:rPr>
          <w:b/>
          <w:color w:val="000000"/>
        </w:rPr>
        <w:t>Інформація про спосіб документального підтвердження відповідності учасників</w:t>
      </w:r>
    </w:p>
    <w:p w:rsidR="00C8246B" w:rsidRDefault="00C8246B" w:rsidP="00C8246B">
      <w:pPr>
        <w:spacing w:after="0" w:line="200" w:lineRule="atLeast"/>
        <w:ind w:right="22"/>
        <w:jc w:val="center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  <w:t>установленим критеріям та вимогам згідно із законодавством</w:t>
      </w:r>
    </w:p>
    <w:p w:rsidR="00C8246B" w:rsidRDefault="00C8246B" w:rsidP="00C8246B">
      <w:pPr>
        <w:spacing w:line="200" w:lineRule="atLeast"/>
        <w:ind w:right="22"/>
        <w:jc w:val="center"/>
        <w:rPr>
          <w:rFonts w:eastAsia="Arial"/>
          <w:b/>
          <w:color w:val="000000"/>
          <w:shd w:val="clear" w:color="auto" w:fill="FFFFFF"/>
        </w:rPr>
      </w:pPr>
    </w:p>
    <w:tbl>
      <w:tblPr>
        <w:tblW w:w="0" w:type="auto"/>
        <w:tblInd w:w="-6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31"/>
        <w:gridCol w:w="7577"/>
      </w:tblGrid>
      <w:tr w:rsidR="00C8246B" w:rsidTr="00F054FF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46B" w:rsidRDefault="00C8246B" w:rsidP="00F054FF">
            <w:pPr>
              <w:spacing w:line="200" w:lineRule="atLeast"/>
              <w:ind w:left="105" w:right="105"/>
              <w:rPr>
                <w:color w:val="000000"/>
              </w:rPr>
            </w:pPr>
            <w:r>
              <w:rPr>
                <w:color w:val="000000"/>
              </w:rPr>
              <w:t>1. Документи, які підтверджують, що Учасник провадить господарську діяльність відповідно до положень його Статуту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46B" w:rsidRDefault="00C8246B" w:rsidP="00C8246B">
            <w:pPr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Копію Статуту з останніми змінами або іншого установчого документу;</w:t>
            </w:r>
          </w:p>
          <w:p w:rsidR="00C8246B" w:rsidRDefault="00C8246B" w:rsidP="00C8246B">
            <w:pPr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Копія свідоцтва про реєстрацію платника податку на додану вартість (сплату єдиного податку), або витяг з реєстру платників податку на додану вартість, чи єдиного податку у відповідності до порядку оподаткування Учасника (за наявності).</w:t>
            </w:r>
          </w:p>
          <w:p w:rsidR="00C8246B" w:rsidRDefault="00C8246B" w:rsidP="00C8246B">
            <w:pPr>
              <w:keepLines/>
              <w:numPr>
                <w:ilvl w:val="0"/>
                <w:numId w:val="3"/>
              </w:numPr>
              <w:tabs>
                <w:tab w:val="left" w:pos="900"/>
                <w:tab w:val="center" w:pos="4819"/>
                <w:tab w:val="right" w:pos="9639"/>
              </w:tabs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з ЄДР, що містить актуальні відомості про учасника.</w:t>
            </w:r>
          </w:p>
          <w:p w:rsidR="00C8246B" w:rsidRDefault="00C8246B" w:rsidP="00C8246B">
            <w:pPr>
              <w:numPr>
                <w:ilvl w:val="0"/>
                <w:numId w:val="3"/>
              </w:numPr>
              <w:tabs>
                <w:tab w:val="left" w:pos="900"/>
                <w:tab w:val="center" w:pos="4819"/>
                <w:tab w:val="right" w:pos="9639"/>
              </w:tabs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Довідка про присвоєння ідентифікаційного коду -</w:t>
            </w:r>
            <w:r>
              <w:rPr>
                <w:b/>
                <w:color w:val="000000"/>
              </w:rPr>
              <w:t>для ФОП</w:t>
            </w:r>
          </w:p>
          <w:p w:rsidR="00C8246B" w:rsidRDefault="00C8246B" w:rsidP="00C8246B">
            <w:pPr>
              <w:numPr>
                <w:ilvl w:val="0"/>
                <w:numId w:val="3"/>
              </w:numPr>
              <w:tabs>
                <w:tab w:val="left" w:pos="900"/>
                <w:tab w:val="center" w:pos="4819"/>
                <w:tab w:val="right" w:pos="9639"/>
              </w:tabs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Копія паспорту, у випадку якщо такий паспорт оформлено у вигляді книжки; або двосторонню копію паспорта громадянина України у випадку, якщо такий паспорт оформлено у формі картки, що містить безконтактний електронний носій - </w:t>
            </w:r>
            <w:r>
              <w:rPr>
                <w:b/>
                <w:color w:val="000000"/>
              </w:rPr>
              <w:t>для ФОП.</w:t>
            </w:r>
          </w:p>
          <w:p w:rsidR="00C8246B" w:rsidRDefault="00C8246B" w:rsidP="00C8246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00"/>
                <w:tab w:val="center" w:pos="4819"/>
                <w:tab w:val="right" w:pos="9639"/>
              </w:tabs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Копія Ліцензії на провадження певного виду господарської діяльності (з додатками) відповідно до предмету закупівлі (якщо учасник отримав електронну Ліцензію, він надає відомості з реєстру, де розміщена така ліцензія). У разі, якщо відсутня необхідність у отриманні ліцензії, згідно із нормами чинного законодавства, учасник подає довідку у довільній формі із зазначенням відповідної інформації, а також посиланням на відповідні нормативно правові акти законодавства. </w:t>
            </w:r>
          </w:p>
          <w:p w:rsidR="00C8246B" w:rsidRDefault="00C8246B" w:rsidP="00C8246B">
            <w:pPr>
              <w:numPr>
                <w:ilvl w:val="0"/>
                <w:numId w:val="3"/>
              </w:numPr>
              <w:suppressAutoHyphens/>
              <w:spacing w:after="0" w:line="200" w:lineRule="atLeast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власника, адреса його місця проживання та громадянство.</w:t>
            </w:r>
          </w:p>
          <w:p w:rsidR="00C8246B" w:rsidRDefault="00C8246B" w:rsidP="00F054FF">
            <w:pPr>
              <w:shd w:val="clear" w:color="auto" w:fill="FFFFFF"/>
              <w:tabs>
                <w:tab w:val="left" w:pos="900"/>
                <w:tab w:val="center" w:pos="4819"/>
                <w:tab w:val="right" w:pos="9639"/>
              </w:tabs>
              <w:spacing w:line="200" w:lineRule="atLeast"/>
            </w:pPr>
            <w:r>
              <w:rPr>
                <w:i/>
                <w:iCs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>
              <w:rPr>
                <w:i/>
                <w:iCs/>
                <w:color w:val="000000"/>
              </w:rPr>
              <w:t>бенефіціарного</w:t>
            </w:r>
            <w:proofErr w:type="spellEnd"/>
            <w:r>
              <w:rPr>
                <w:i/>
                <w:iCs/>
                <w:color w:val="000000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C8246B" w:rsidTr="00F054FF">
        <w:trPr>
          <w:trHeight w:val="750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46B" w:rsidRDefault="00C8246B" w:rsidP="00F054FF">
            <w:pPr>
              <w:spacing w:line="20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Документи, що підтверджують повноваження посадової особи або представника учасника (уповноваженої особи учасника процедури закупівлі) щодо підпису документів, що входять до складу тендерної пропозиції та договору про закупівлю</w:t>
            </w:r>
          </w:p>
        </w:tc>
        <w:tc>
          <w:tcPr>
            <w:tcW w:w="7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46B" w:rsidRDefault="00C8246B" w:rsidP="00C8246B">
            <w:pPr>
              <w:pStyle w:val="Default"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0" w:lineRule="atLeast"/>
              <w:jc w:val="both"/>
            </w:pPr>
            <w:r>
              <w:t>якщо тендерну пропозицію підписує уповноважена посадова (службова) особа учасника (далі - уповноважена особа) - копією протоколу зборів засновників про призначення директора/президента/голови правління, або випискою (витягом) з нього чи Статуту та копією наказу про його призначення або про вступ на посаду;</w:t>
            </w:r>
          </w:p>
          <w:p w:rsidR="00C8246B" w:rsidRDefault="00C8246B" w:rsidP="00C8246B">
            <w:pPr>
              <w:pStyle w:val="Default"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0" w:lineRule="atLeast"/>
              <w:jc w:val="both"/>
            </w:pPr>
            <w:r>
              <w:t>якщо тендерну пропозицію підписує представник учасника (далі - уповноважена особа) – довіреністю, або дорученням разом з наданням документів, що підтверджують право уповноваженої посадової (службової) особи учасника надавати такі повноваження.</w:t>
            </w:r>
          </w:p>
        </w:tc>
      </w:tr>
      <w:tr w:rsidR="00C8246B" w:rsidTr="00F054FF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46B" w:rsidRDefault="00C8246B" w:rsidP="00F054FF">
            <w:pPr>
              <w:spacing w:line="20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3. Інша документація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46B" w:rsidRDefault="00C8246B" w:rsidP="00C8246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00"/>
                <w:tab w:val="center" w:pos="4819"/>
                <w:tab w:val="right" w:pos="9639"/>
              </w:tabs>
              <w:suppressAutoHyphens/>
              <w:spacing w:after="0" w:line="200" w:lineRule="atLeast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Інформацію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>
              <w:rPr>
                <w:color w:val="000000"/>
              </w:rPr>
              <w:t>бенефіціарним</w:t>
            </w:r>
            <w:proofErr w:type="spellEnd"/>
            <w:r>
              <w:rPr>
                <w:color w:val="000000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скасування»). </w:t>
            </w:r>
          </w:p>
          <w:p w:rsidR="00C8246B" w:rsidRDefault="00C8246B" w:rsidP="00F054FF">
            <w:pPr>
              <w:spacing w:line="200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 разі ненадання учасником вищевказаної довідки замовник відхиляє такого учасника на підставі абзацу 7 підпункту 1 пункту 41 Особливостей.</w:t>
            </w:r>
          </w:p>
          <w:p w:rsidR="00C8246B" w:rsidRDefault="00C8246B" w:rsidP="00F054FF">
            <w:pPr>
              <w:spacing w:line="200" w:lineRule="atLeast"/>
              <w:rPr>
                <w:color w:val="000000"/>
              </w:rPr>
            </w:pPr>
          </w:p>
          <w:p w:rsidR="00C8246B" w:rsidRDefault="00C8246B" w:rsidP="00C8246B">
            <w:pPr>
              <w:numPr>
                <w:ilvl w:val="0"/>
                <w:numId w:val="5"/>
              </w:numPr>
              <w:suppressAutoHyphens/>
              <w:spacing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Довідка в довільній формі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 </w:t>
            </w:r>
            <w:r>
              <w:rPr>
                <w:color w:val="000000"/>
              </w:rPr>
              <w:lastRenderedPageBreak/>
              <w:t xml:space="preserve">довідку та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C8246B" w:rsidRDefault="00C8246B" w:rsidP="00F054FF">
            <w:pPr>
              <w:spacing w:line="200" w:lineRule="atLeast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Тимчасово окупованою територією є частини</w:t>
            </w:r>
            <w:bookmarkStart w:id="2" w:name="_Hlk117697886"/>
            <w:r>
              <w:rPr>
                <w:color w:val="000000"/>
              </w:rPr>
              <w:t xml:space="preserve">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</w:t>
            </w:r>
            <w:bookmarkEnd w:id="2"/>
            <w:r>
              <w:rPr>
                <w:color w:val="000000"/>
              </w:rPr>
              <w:t xml:space="preserve">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</w:t>
            </w:r>
          </w:p>
          <w:p w:rsidR="00C8246B" w:rsidRDefault="00C8246B" w:rsidP="00F054FF">
            <w:pPr>
              <w:shd w:val="clear" w:color="auto" w:fill="FFFFFF"/>
              <w:tabs>
                <w:tab w:val="left" w:pos="900"/>
                <w:tab w:val="center" w:pos="4819"/>
                <w:tab w:val="right" w:pos="9639"/>
              </w:tabs>
              <w:spacing w:line="200" w:lineRule="atLeast"/>
            </w:pPr>
            <w:r>
              <w:rPr>
                <w:i/>
                <w:iCs/>
                <w:color w:val="000000"/>
              </w:rPr>
              <w:t>У разі ненадання учасником вищевказаної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</w:tc>
      </w:tr>
    </w:tbl>
    <w:p w:rsidR="00C8246B" w:rsidRDefault="00C8246B" w:rsidP="00C8246B">
      <w:pPr>
        <w:pStyle w:val="a8"/>
        <w:spacing w:line="200" w:lineRule="atLeast"/>
        <w:ind w:left="502"/>
        <w:jc w:val="both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</w:p>
    <w:p w:rsidR="00C8246B" w:rsidRPr="00D546D3" w:rsidRDefault="00C8246B" w:rsidP="00C8246B">
      <w:pPr>
        <w:pStyle w:val="20"/>
        <w:keepLines/>
        <w:tabs>
          <w:tab w:val="left" w:pos="900"/>
          <w:tab w:val="center" w:pos="4819"/>
          <w:tab w:val="right" w:pos="9639"/>
        </w:tabs>
        <w:spacing w:line="200" w:lineRule="atLeast"/>
        <w:ind w:right="90"/>
        <w:jc w:val="both"/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*Примітки: </w:t>
      </w:r>
      <w:r w:rsidRPr="00D546D3"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разі, якщо Учасник відповідно до норм чинного Законодавства не зобов’язаний складати вказані документи, – такий Учасник надає лист-пояснення в довільній формі, за власноручним підписом уповноваженої особи Учасника та завірений печаткою (за наявності) в якому зазначає законодавчі підстави ненадання вищезазначених документів.</w:t>
      </w:r>
    </w:p>
    <w:p w:rsidR="00C8246B" w:rsidRPr="00D546D3" w:rsidRDefault="00C8246B" w:rsidP="00C8246B">
      <w:pPr>
        <w:pStyle w:val="20"/>
        <w:tabs>
          <w:tab w:val="left" w:pos="900"/>
          <w:tab w:val="center" w:pos="4819"/>
          <w:tab w:val="right" w:pos="9639"/>
        </w:tabs>
        <w:spacing w:line="200" w:lineRule="atLeast"/>
        <w:ind w:right="30"/>
        <w:jc w:val="both"/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D546D3"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Усі документи, які подаються учасником, мають бути чинними на момент розкриття тендерної пропозиції. У разі перенесення дати розкриття, документи строк дії яких обмежено згідно законодавством України вважаються чинними на нову дату розкриття тендерної пропозицій, у разі якщо вони були дійсними на попередню дату розкриття.</w:t>
      </w:r>
    </w:p>
    <w:p w:rsidR="00C8246B" w:rsidRDefault="00C8246B" w:rsidP="00C8246B">
      <w:pPr>
        <w:spacing w:after="0" w:line="200" w:lineRule="atLeast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  <w:r w:rsidRPr="00D546D3"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  <w:t xml:space="preserve">Документи на які відсутні форми або орган, що їх видає, надається в довільній формі. </w:t>
      </w:r>
    </w:p>
    <w:p w:rsidR="00C8246B" w:rsidRPr="00D546D3" w:rsidRDefault="00C8246B" w:rsidP="00C8246B">
      <w:pPr>
        <w:spacing w:after="0" w:line="200" w:lineRule="atLeast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  <w:r w:rsidRPr="00D546D3"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  <w:t xml:space="preserve">Всі довідки повинні бути на фірмовому бланку з обов’язковим зазначенням вихідного номера, підпису керівника підприємства та печатки (у разі наявності). </w:t>
      </w:r>
    </w:p>
    <w:p w:rsidR="00C8246B" w:rsidRPr="00D546D3" w:rsidRDefault="00C8246B" w:rsidP="00C8246B">
      <w:pPr>
        <w:widowControl w:val="0"/>
        <w:tabs>
          <w:tab w:val="left" w:pos="900"/>
          <w:tab w:val="center" w:pos="4819"/>
          <w:tab w:val="right" w:pos="9639"/>
        </w:tabs>
        <w:spacing w:after="0" w:line="200" w:lineRule="atLeast"/>
        <w:ind w:right="-1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  <w:r w:rsidRPr="00D546D3"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  <w:t xml:space="preserve">ЯКЩО БУДЬ-ЯКИЙ З ДОКУМЕНТІВ НЕ МОЖЕ БУТИ НАДАНИЙ З ПРИЧИН ЙОГО ВТРАТИ ЧИННОСТІ АБО ЗМІНИ ФОРМИ, НАЗВИ </w:t>
      </w:r>
      <w:proofErr w:type="spellStart"/>
      <w:r w:rsidRPr="00D546D3"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  <w:t>ітд</w:t>
      </w:r>
      <w:proofErr w:type="spellEnd"/>
      <w:r w:rsidRPr="00D546D3"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  <w:t>, УЧАСНИК НАДАЄ ІНШИЙ РІВНОЗНАЧНИЙ ДОКУМЕНТ ТА ПИСЬМОВЕ ПОЯСНЕННЯ.</w:t>
      </w:r>
    </w:p>
    <w:p w:rsidR="00C8246B" w:rsidRPr="00D546D3" w:rsidRDefault="00C8246B" w:rsidP="00C8246B">
      <w:pPr>
        <w:pStyle w:val="20"/>
        <w:tabs>
          <w:tab w:val="left" w:pos="900"/>
          <w:tab w:val="center" w:pos="4819"/>
          <w:tab w:val="right" w:pos="9639"/>
        </w:tabs>
        <w:spacing w:line="200" w:lineRule="atLeast"/>
        <w:ind w:right="60"/>
        <w:jc w:val="both"/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D546D3">
        <w:rPr>
          <w:rFonts w:ascii="Times New Roman" w:eastAsia="Calibri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Відсутність документів, передбачених в цьому додатку документації, розцінюється як невідповідність пропозиції умовам тендерної документації.</w:t>
      </w:r>
    </w:p>
    <w:p w:rsidR="00C8246B" w:rsidRPr="00143E47" w:rsidRDefault="00C8246B" w:rsidP="00C8246B">
      <w:pPr>
        <w:spacing w:line="200" w:lineRule="atLeast"/>
        <w:ind w:right="22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</w:p>
    <w:p w:rsidR="00C8246B" w:rsidRPr="00D546D3" w:rsidRDefault="00C8246B" w:rsidP="00C8246B">
      <w:pPr>
        <w:pStyle w:val="a8"/>
        <w:spacing w:line="200" w:lineRule="atLeast"/>
        <w:ind w:left="502"/>
        <w:jc w:val="both"/>
        <w:rPr>
          <w:rFonts w:ascii="Times New Roman" w:hAnsi="Times New Roman" w:cs="Times New Roman"/>
          <w:color w:val="221F1F"/>
          <w:sz w:val="24"/>
          <w:szCs w:val="24"/>
          <w:bdr w:val="none" w:sz="0" w:space="0" w:color="auto" w:frame="1"/>
          <w:shd w:val="clear" w:color="auto" w:fill="FFFFFF"/>
        </w:rPr>
      </w:pPr>
    </w:p>
    <w:p w:rsidR="00CC1F8E" w:rsidRPr="005D5073" w:rsidRDefault="00CC1F8E" w:rsidP="005D50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8E" w:rsidRPr="005D5073" w:rsidRDefault="00CC1F8E" w:rsidP="005D50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8E" w:rsidRDefault="00CC1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:rsidR="00CC1F8E" w:rsidRDefault="00CC1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sectPr w:rsidR="00CC1F8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color w:val="000000"/>
        <w:sz w:val="24"/>
        <w:szCs w:val="24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Arial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Arial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A"/>
        <w:sz w:val="24"/>
        <w:szCs w:val="24"/>
        <w:u w:val="none"/>
        <w:shd w:val="clear" w:color="auto" w:fill="FFFFFF"/>
        <w:lang w:val="uk-U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24"/>
        <w:szCs w:val="24"/>
        <w:u w:val="none"/>
        <w:shd w:val="clear" w:color="auto" w:fill="FFFFFF"/>
        <w:lang w:val="uk-UA"/>
      </w:rPr>
    </w:lvl>
  </w:abstractNum>
  <w:abstractNum w:abstractNumId="3" w15:restartNumberingAfterBreak="0">
    <w:nsid w:val="0875268E"/>
    <w:multiLevelType w:val="multilevel"/>
    <w:tmpl w:val="BB867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A178E"/>
    <w:multiLevelType w:val="multilevel"/>
    <w:tmpl w:val="8E40D77A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6"/>
    <w:rsid w:val="00027AE5"/>
    <w:rsid w:val="004C7F14"/>
    <w:rsid w:val="005D5073"/>
    <w:rsid w:val="006C5D6D"/>
    <w:rsid w:val="00B10A39"/>
    <w:rsid w:val="00C55775"/>
    <w:rsid w:val="00C8246B"/>
    <w:rsid w:val="00CB39D6"/>
    <w:rsid w:val="00CC1F8E"/>
    <w:rsid w:val="00D855C1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9593"/>
  <w15:docId w15:val="{91035383-D687-4BA3-AA48-07579F9B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8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D855C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8">
    <w:name w:val="List Paragraph"/>
    <w:aliases w:val="название табл/рис,заголовок 1.1,Литература,Bullet Number,Bullet 1,Use Case List Paragraph,lp1,lp11,List Paragraph11,List Paragraph,AC List 01,EBRD List"/>
    <w:basedOn w:val="a"/>
    <w:link w:val="a9"/>
    <w:uiPriority w:val="34"/>
    <w:qFormat/>
    <w:rsid w:val="00C55775"/>
    <w:pPr>
      <w:ind w:left="720"/>
      <w:contextualSpacing/>
    </w:pPr>
    <w:rPr>
      <w:lang w:eastAsia="uk-UA"/>
    </w:rPr>
  </w:style>
  <w:style w:type="character" w:customStyle="1" w:styleId="a9">
    <w:name w:val="Абзац списка Знак"/>
    <w:aliases w:val="название табл/рис Знак,заголовок 1.1 Знак,Литература Знак,Bullet Number Знак,Bullet 1 Знак,Use Case List Paragraph Знак,lp1 Знак,lp11 Знак,List Paragraph11 Знак,List Paragraph Знак,AC List 01 Знак,EBRD List Знак"/>
    <w:link w:val="a8"/>
    <w:uiPriority w:val="34"/>
    <w:locked/>
    <w:rsid w:val="00C55775"/>
    <w:rPr>
      <w:lang w:eastAsia="uk-UA"/>
    </w:rPr>
  </w:style>
  <w:style w:type="paragraph" w:customStyle="1" w:styleId="20">
    <w:name w:val="Без интервала2"/>
    <w:rsid w:val="00C8246B"/>
    <w:pPr>
      <w:suppressAutoHyphens/>
      <w:spacing w:after="0" w:line="240" w:lineRule="auto"/>
    </w:pPr>
    <w:rPr>
      <w:rFonts w:eastAsia="Tahoma"/>
      <w:color w:val="00000A"/>
      <w:lang w:eastAsia="ar-SA"/>
    </w:rPr>
  </w:style>
  <w:style w:type="paragraph" w:styleId="aa">
    <w:name w:val="No Spacing"/>
    <w:uiPriority w:val="1"/>
    <w:qFormat/>
    <w:rsid w:val="00027AE5"/>
    <w:pPr>
      <w:suppressAutoHyphens/>
      <w:spacing w:after="0" w:line="240" w:lineRule="auto"/>
    </w:pPr>
    <w:rPr>
      <w:lang w:eastAsia="ar-SA"/>
    </w:rPr>
  </w:style>
  <w:style w:type="paragraph" w:styleId="ab">
    <w:name w:val="Body Text"/>
    <w:basedOn w:val="a"/>
    <w:link w:val="ac"/>
    <w:rsid w:val="00027AE5"/>
    <w:pPr>
      <w:suppressAutoHyphens/>
      <w:spacing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27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027AE5"/>
    <w:pPr>
      <w:suppressAutoHyphens/>
      <w:spacing w:after="0" w:line="240" w:lineRule="auto"/>
    </w:pPr>
    <w:rPr>
      <w:rFonts w:eastAsia="Tahoma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3B9E08-4737-4793-9F7E-442CEFAB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2024-02-05T09:18:00Z</dcterms:created>
  <dcterms:modified xsi:type="dcterms:W3CDTF">2024-03-05T13:01:00Z</dcterms:modified>
</cp:coreProperties>
</file>