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 xml:space="preserve">Протокол № </w:t>
            </w:r>
            <w:r>
              <w:rPr>
                <w:rFonts w:hint="default"/>
                <w:iCs/>
                <w:sz w:val="24"/>
                <w:szCs w:val="24"/>
                <w:lang w:val="uk-UA"/>
              </w:rPr>
              <w:t>184</w:t>
            </w:r>
            <w:r>
              <w:rPr>
                <w:iCs/>
                <w:sz w:val="24"/>
                <w:szCs w:val="24"/>
              </w:rPr>
              <w:t xml:space="preserve"> від </w:t>
            </w:r>
            <w:r>
              <w:rPr>
                <w:rFonts w:hint="default"/>
                <w:iCs/>
                <w:sz w:val="24"/>
                <w:szCs w:val="24"/>
                <w:lang w:val="uk-UA"/>
              </w:rPr>
              <w:t>10</w:t>
            </w:r>
            <w:bookmarkStart w:id="3" w:name="_GoBack"/>
            <w:bookmarkEnd w:id="3"/>
            <w:r>
              <w:rPr>
                <w:iCs/>
                <w:sz w:val="24"/>
                <w:szCs w:val="24"/>
              </w:rPr>
              <w:t>.03.2024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after="0"/>
        <w:jc w:val="center"/>
        <w:textAlignment w:val="baseline"/>
        <w:rPr>
          <w:b/>
          <w:lang w:val="uk-UA"/>
        </w:rPr>
      </w:pPr>
      <w:r>
        <w:rPr>
          <w:b/>
          <w:lang w:val="uk-UA"/>
        </w:rPr>
        <w:t>код ДК 021:2015 - 15540000-5 «Сирні продукти» (Сир кисломолочний; Сир твердий)</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u w:val="single"/>
                <w:lang w:val="uk-UA"/>
              </w:rPr>
              <w:t>к</w:t>
            </w:r>
            <w:r>
              <w:rPr>
                <w:rFonts w:ascii="Times New Roman" w:hAnsi="Times New Roman"/>
                <w:b/>
                <w:sz w:val="24"/>
                <w:szCs w:val="24"/>
                <w:lang w:val="uk-UA"/>
              </w:rPr>
              <w:t>од ДК 021:2015 - 15540000-5 «Сирні продукти» (Сир кисломолочний; Сир твердий)</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1</w:t>
            </w:r>
            <w:r>
              <w:rPr>
                <w:rFonts w:hint="default" w:ascii="Times New Roman" w:hAnsi="Times New Roman" w:eastAsia="Times New Roman" w:cs="Times New Roman"/>
                <w:b/>
                <w:bCs/>
                <w:color w:val="000000"/>
                <w:sz w:val="24"/>
                <w:szCs w:val="24"/>
                <w:lang w:val="uk-UA" w:eastAsia="ru-RU"/>
              </w:rPr>
              <w:t>5</w:t>
            </w:r>
            <w:r>
              <w:rPr>
                <w:rFonts w:ascii="Times New Roman" w:hAnsi="Times New Roman" w:eastAsia="Times New Roman" w:cs="Times New Roman"/>
                <w:b/>
                <w:bCs/>
                <w:color w:val="000000"/>
                <w:sz w:val="24"/>
                <w:szCs w:val="24"/>
                <w:lang w:val="uk-UA" w:eastAsia="ru-RU"/>
              </w:rPr>
              <w:t>.03.2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w:t>
            </w:r>
            <w:r>
              <w:rPr>
                <w:lang w:val="en-US"/>
              </w:rPr>
              <w:t>/</w:t>
            </w:r>
            <w:r>
              <w:rPr>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E0748"/>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CF0076"/>
    <w:rsid w:val="00D07637"/>
    <w:rsid w:val="00D21A96"/>
    <w:rsid w:val="00DC51D1"/>
    <w:rsid w:val="00DD37BE"/>
    <w:rsid w:val="00E47936"/>
    <w:rsid w:val="00EA7889"/>
    <w:rsid w:val="00ED3D13"/>
    <w:rsid w:val="00F2685D"/>
    <w:rsid w:val="1F4A72B2"/>
    <w:rsid w:val="4DF7E0C3"/>
    <w:rsid w:val="5EE9C8D4"/>
    <w:rsid w:val="5FF7E3D2"/>
    <w:rsid w:val="6F238380"/>
    <w:rsid w:val="7A4F8DEA"/>
    <w:rsid w:val="7E7F43A5"/>
    <w:rsid w:val="A6CE77A7"/>
    <w:rsid w:val="E6CFECF9"/>
    <w:rsid w:val="FBDF0B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35034</Words>
  <Characters>19970</Characters>
  <Lines>166</Lines>
  <Paragraphs>109</Paragraphs>
  <TotalTime>10</TotalTime>
  <ScaleCrop>false</ScaleCrop>
  <LinksUpToDate>false</LinksUpToDate>
  <CharactersWithSpaces>54895</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2023-05-20T01:57:00Z</dcterms:created>
  <dc:creator>T440</dc:creator>
  <cp:lastModifiedBy>yanadovbeta</cp:lastModifiedBy>
  <dcterms:modified xsi:type="dcterms:W3CDTF">2024-03-10T15:03:16Z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