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DB" w:rsidRPr="00170B47" w:rsidRDefault="00763EDB" w:rsidP="00763EDB">
      <w:pPr>
        <w:jc w:val="right"/>
        <w:rPr>
          <w:b/>
          <w:i/>
          <w:u w:val="single"/>
        </w:rPr>
      </w:pPr>
      <w:bookmarkStart w:id="0" w:name="_Toc273092487"/>
      <w:bookmarkStart w:id="1" w:name="_Toc191360589"/>
      <w:bookmarkStart w:id="2" w:name="_Toc190675057"/>
      <w:bookmarkStart w:id="3" w:name="_Toc89588198"/>
      <w:bookmarkStart w:id="4" w:name="_Toc86735312"/>
      <w:r w:rsidRPr="00170B47">
        <w:rPr>
          <w:b/>
          <w:i/>
          <w:u w:val="single"/>
        </w:rPr>
        <w:t xml:space="preserve">Додаток № 1 </w:t>
      </w:r>
    </w:p>
    <w:p w:rsidR="00420882" w:rsidRDefault="00420882" w:rsidP="008B4CF0">
      <w:pPr>
        <w:jc w:val="center"/>
        <w:rPr>
          <w:rFonts w:eastAsia="Courier New"/>
          <w:b/>
          <w:bCs/>
        </w:rPr>
      </w:pPr>
      <w:r>
        <w:rPr>
          <w:rFonts w:eastAsia="Courier New"/>
          <w:b/>
          <w:bCs/>
        </w:rPr>
        <w:t>ІНФОРМАЦІЯ ПРО КІЛЬКІСНІ ХАРАКТЕРИСТИКИ,</w:t>
      </w:r>
    </w:p>
    <w:p w:rsidR="00763EDB" w:rsidRDefault="00763EDB" w:rsidP="008B4CF0">
      <w:pPr>
        <w:jc w:val="center"/>
        <w:rPr>
          <w:b/>
          <w:caps/>
        </w:rPr>
      </w:pPr>
      <w:r w:rsidRPr="006C73C8">
        <w:rPr>
          <w:b/>
          <w:caps/>
        </w:rPr>
        <w:t xml:space="preserve">ТЕХНІЧНі вимоги до </w:t>
      </w:r>
      <w:r>
        <w:rPr>
          <w:b/>
          <w:caps/>
        </w:rPr>
        <w:t>ПРЕДМЕТУ ЗАКУПІВЛІ</w:t>
      </w:r>
    </w:p>
    <w:p w:rsidR="005D774A" w:rsidRDefault="00763EDB" w:rsidP="0022428F">
      <w:pPr>
        <w:tabs>
          <w:tab w:val="left" w:pos="0"/>
        </w:tabs>
        <w:jc w:val="center"/>
        <w:outlineLvl w:val="1"/>
        <w:rPr>
          <w:i/>
          <w:color w:val="000000"/>
          <w:sz w:val="22"/>
          <w:szCs w:val="22"/>
        </w:rPr>
      </w:pPr>
      <w:r w:rsidRPr="00046C4F">
        <w:rPr>
          <w:b/>
          <w:color w:val="000000"/>
        </w:rPr>
        <w:t xml:space="preserve">за кодом </w:t>
      </w:r>
      <w:r w:rsidRPr="005111EF">
        <w:rPr>
          <w:b/>
        </w:rPr>
        <w:t xml:space="preserve">ДК 021:2015 - </w:t>
      </w:r>
      <w:r w:rsidR="0022428F" w:rsidRPr="0022428F">
        <w:rPr>
          <w:b/>
        </w:rPr>
        <w:t>33690000-3 - Лікарські засоби різні</w:t>
      </w:r>
      <w:r w:rsidR="0022428F" w:rsidRPr="0027762D">
        <w:rPr>
          <w:i/>
          <w:color w:val="000000"/>
          <w:sz w:val="22"/>
          <w:szCs w:val="22"/>
        </w:rPr>
        <w:t xml:space="preserve"> </w:t>
      </w:r>
    </w:p>
    <w:p w:rsidR="00763EDB" w:rsidRPr="00627684" w:rsidRDefault="0022428F" w:rsidP="0022428F">
      <w:pPr>
        <w:tabs>
          <w:tab w:val="left" w:pos="0"/>
        </w:tabs>
        <w:jc w:val="center"/>
        <w:outlineLvl w:val="1"/>
        <w:rPr>
          <w:i/>
          <w:color w:val="000000"/>
          <w:sz w:val="22"/>
          <w:szCs w:val="22"/>
        </w:rPr>
      </w:pPr>
      <w:r w:rsidRPr="0027762D">
        <w:rPr>
          <w:i/>
          <w:color w:val="000000"/>
          <w:sz w:val="22"/>
          <w:szCs w:val="22"/>
        </w:rPr>
        <w:t xml:space="preserve">(хімічні реактиви: </w:t>
      </w:r>
      <w:r w:rsidR="005D774A" w:rsidRPr="00A561F9">
        <w:rPr>
          <w:i/>
          <w:color w:val="000000"/>
          <w:sz w:val="22"/>
          <w:szCs w:val="22"/>
        </w:rPr>
        <w:t>Лужний промивний розчин</w:t>
      </w:r>
      <w:r>
        <w:rPr>
          <w:i/>
          <w:color w:val="000000"/>
          <w:sz w:val="22"/>
          <w:szCs w:val="22"/>
        </w:rPr>
        <w:t>)</w:t>
      </w:r>
    </w:p>
    <w:tbl>
      <w:tblPr>
        <w:tblW w:w="10348" w:type="dxa"/>
        <w:tblInd w:w="-5" w:type="dxa"/>
        <w:tblLayout w:type="fixed"/>
        <w:tblLook w:val="04A0" w:firstRow="1" w:lastRow="0" w:firstColumn="1" w:lastColumn="0" w:noHBand="0" w:noVBand="1"/>
      </w:tblPr>
      <w:tblGrid>
        <w:gridCol w:w="426"/>
        <w:gridCol w:w="1701"/>
        <w:gridCol w:w="992"/>
        <w:gridCol w:w="567"/>
        <w:gridCol w:w="588"/>
        <w:gridCol w:w="6074"/>
      </w:tblGrid>
      <w:tr w:rsidR="005A57CE" w:rsidTr="005A57CE">
        <w:tc>
          <w:tcPr>
            <w:tcW w:w="4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A57CE" w:rsidRDefault="005A57CE" w:rsidP="000D2CB5">
            <w:pPr>
              <w:spacing w:line="256" w:lineRule="auto"/>
              <w:rPr>
                <w:sz w:val="22"/>
                <w:szCs w:val="22"/>
              </w:rPr>
            </w:pPr>
            <w:r>
              <w:rPr>
                <w:sz w:val="22"/>
                <w:szCs w:val="22"/>
              </w:rPr>
              <w:t>№ з/п</w:t>
            </w:r>
          </w:p>
        </w:tc>
        <w:tc>
          <w:tcPr>
            <w:tcW w:w="1701" w:type="dxa"/>
            <w:tcBorders>
              <w:top w:val="single" w:sz="4" w:space="0" w:color="000000"/>
              <w:left w:val="single" w:sz="4" w:space="0" w:color="000000"/>
              <w:bottom w:val="single" w:sz="4" w:space="0" w:color="000000"/>
              <w:right w:val="single" w:sz="4" w:space="0" w:color="000000"/>
            </w:tcBorders>
            <w:hideMark/>
          </w:tcPr>
          <w:p w:rsidR="005A57CE" w:rsidRPr="000F67A6" w:rsidRDefault="005A57CE" w:rsidP="000F67A6">
            <w:pPr>
              <w:spacing w:line="256" w:lineRule="auto"/>
              <w:ind w:left="-137" w:firstLine="175"/>
              <w:jc w:val="center"/>
              <w:rPr>
                <w:sz w:val="22"/>
                <w:szCs w:val="22"/>
              </w:rPr>
            </w:pPr>
            <w:r w:rsidRPr="000F67A6">
              <w:rPr>
                <w:sz w:val="22"/>
                <w:szCs w:val="22"/>
              </w:rPr>
              <w:t>Найменування</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A57CE" w:rsidRPr="000F67A6" w:rsidRDefault="005A57CE" w:rsidP="005D774A">
            <w:pPr>
              <w:spacing w:line="256" w:lineRule="auto"/>
              <w:ind w:left="-137" w:firstLine="175"/>
              <w:jc w:val="center"/>
              <w:rPr>
                <w:sz w:val="22"/>
                <w:szCs w:val="22"/>
              </w:rPr>
            </w:pPr>
            <w:r w:rsidRPr="000F67A6">
              <w:rPr>
                <w:sz w:val="22"/>
                <w:szCs w:val="22"/>
              </w:rPr>
              <w:t>Код  НК 024:</w:t>
            </w:r>
            <w:r w:rsidR="005D774A">
              <w:rPr>
                <w:sz w:val="22"/>
                <w:szCs w:val="22"/>
              </w:rPr>
              <w:t>2023</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A57CE" w:rsidRDefault="005A57CE" w:rsidP="000F67A6">
            <w:pPr>
              <w:spacing w:line="256" w:lineRule="auto"/>
              <w:ind w:left="-137" w:firstLine="175"/>
              <w:jc w:val="center"/>
              <w:rPr>
                <w:sz w:val="22"/>
                <w:szCs w:val="22"/>
              </w:rPr>
            </w:pPr>
            <w:r>
              <w:rPr>
                <w:sz w:val="22"/>
                <w:szCs w:val="22"/>
              </w:rPr>
              <w:t>Од. виміру</w:t>
            </w:r>
          </w:p>
        </w:tc>
        <w:tc>
          <w:tcPr>
            <w:tcW w:w="5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A57CE" w:rsidRPr="001621B3" w:rsidRDefault="005A57CE" w:rsidP="000F67A6">
            <w:pPr>
              <w:spacing w:line="256" w:lineRule="auto"/>
              <w:ind w:left="-137" w:firstLine="175"/>
              <w:jc w:val="center"/>
              <w:rPr>
                <w:sz w:val="22"/>
                <w:szCs w:val="22"/>
              </w:rPr>
            </w:pPr>
            <w:r w:rsidRPr="001621B3">
              <w:rPr>
                <w:sz w:val="22"/>
                <w:szCs w:val="22"/>
              </w:rPr>
              <w:t>Кіль-</w:t>
            </w:r>
          </w:p>
          <w:p w:rsidR="005A57CE" w:rsidRPr="001621B3" w:rsidRDefault="005A57CE" w:rsidP="000F67A6">
            <w:pPr>
              <w:spacing w:line="256" w:lineRule="auto"/>
              <w:ind w:left="-137" w:firstLine="175"/>
              <w:jc w:val="center"/>
              <w:rPr>
                <w:sz w:val="22"/>
                <w:szCs w:val="22"/>
              </w:rPr>
            </w:pPr>
            <w:r w:rsidRPr="001621B3">
              <w:rPr>
                <w:sz w:val="22"/>
                <w:szCs w:val="22"/>
              </w:rPr>
              <w:t>кість</w:t>
            </w:r>
          </w:p>
        </w:tc>
        <w:tc>
          <w:tcPr>
            <w:tcW w:w="6074" w:type="dxa"/>
            <w:tcBorders>
              <w:top w:val="single" w:sz="4" w:space="0" w:color="000000"/>
              <w:left w:val="single" w:sz="4" w:space="0" w:color="000000"/>
              <w:bottom w:val="single" w:sz="4" w:space="0" w:color="000000"/>
              <w:right w:val="single" w:sz="4" w:space="0" w:color="000000"/>
            </w:tcBorders>
            <w:hideMark/>
          </w:tcPr>
          <w:p w:rsidR="005A57CE" w:rsidRDefault="005A57CE" w:rsidP="000F67A6">
            <w:pPr>
              <w:spacing w:line="256" w:lineRule="auto"/>
              <w:ind w:left="-137" w:firstLine="175"/>
              <w:jc w:val="center"/>
              <w:rPr>
                <w:sz w:val="22"/>
                <w:szCs w:val="22"/>
              </w:rPr>
            </w:pPr>
            <w:r>
              <w:rPr>
                <w:sz w:val="22"/>
                <w:szCs w:val="22"/>
              </w:rPr>
              <w:t>Медико-технічні вимоги</w:t>
            </w:r>
          </w:p>
        </w:tc>
      </w:tr>
      <w:tr w:rsidR="005D774A" w:rsidTr="005A57CE">
        <w:tc>
          <w:tcPr>
            <w:tcW w:w="4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D774A" w:rsidRDefault="005D774A" w:rsidP="005D774A">
            <w:pPr>
              <w:spacing w:line="256" w:lineRule="auto"/>
              <w:rPr>
                <w:sz w:val="22"/>
                <w:szCs w:val="22"/>
              </w:rPr>
            </w:pPr>
            <w:r>
              <w:rPr>
                <w:sz w:val="22"/>
                <w:szCs w:val="22"/>
              </w:rPr>
              <w:t>1</w:t>
            </w:r>
          </w:p>
        </w:tc>
        <w:tc>
          <w:tcPr>
            <w:tcW w:w="1701" w:type="dxa"/>
            <w:tcBorders>
              <w:top w:val="single" w:sz="4" w:space="0" w:color="000000"/>
              <w:left w:val="single" w:sz="4" w:space="0" w:color="000000"/>
              <w:bottom w:val="single" w:sz="4" w:space="0" w:color="000000"/>
              <w:right w:val="single" w:sz="4" w:space="0" w:color="000000"/>
            </w:tcBorders>
          </w:tcPr>
          <w:p w:rsidR="005D774A" w:rsidRPr="0022428F" w:rsidRDefault="005D774A" w:rsidP="005D774A">
            <w:pPr>
              <w:spacing w:line="256" w:lineRule="auto"/>
              <w:rPr>
                <w:b/>
                <w:sz w:val="22"/>
                <w:szCs w:val="22"/>
              </w:rPr>
            </w:pPr>
            <w:r w:rsidRPr="00D32F85">
              <w:rPr>
                <w:spacing w:val="-2"/>
                <w:sz w:val="23"/>
                <w:szCs w:val="23"/>
              </w:rPr>
              <w:t>Лужний промивний розчин</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D774A" w:rsidRPr="000D55DA" w:rsidRDefault="005D774A" w:rsidP="005D774A">
            <w:pPr>
              <w:spacing w:line="256" w:lineRule="auto"/>
              <w:jc w:val="center"/>
              <w:rPr>
                <w:spacing w:val="-2"/>
                <w:sz w:val="23"/>
                <w:szCs w:val="23"/>
              </w:rPr>
            </w:pPr>
            <w:r>
              <w:rPr>
                <w:spacing w:val="-2"/>
                <w:sz w:val="23"/>
                <w:szCs w:val="23"/>
              </w:rPr>
              <w:t>59058</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D774A" w:rsidRDefault="005D774A" w:rsidP="005D774A">
            <w:r w:rsidRPr="008530AC">
              <w:rPr>
                <w:sz w:val="22"/>
                <w:szCs w:val="22"/>
                <w:lang w:val="ru-RU"/>
              </w:rPr>
              <w:t>шт.</w:t>
            </w:r>
          </w:p>
        </w:tc>
        <w:tc>
          <w:tcPr>
            <w:tcW w:w="5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D774A" w:rsidRPr="00B05612" w:rsidRDefault="005D774A" w:rsidP="005D774A">
            <w:pPr>
              <w:spacing w:line="256" w:lineRule="auto"/>
              <w:ind w:firstLine="175"/>
              <w:jc w:val="center"/>
              <w:rPr>
                <w:spacing w:val="-2"/>
                <w:sz w:val="23"/>
                <w:szCs w:val="23"/>
              </w:rPr>
            </w:pPr>
            <w:r w:rsidRPr="00B05612">
              <w:rPr>
                <w:spacing w:val="-2"/>
                <w:sz w:val="23"/>
                <w:szCs w:val="23"/>
              </w:rPr>
              <w:t>11</w:t>
            </w:r>
          </w:p>
        </w:tc>
        <w:tc>
          <w:tcPr>
            <w:tcW w:w="6074" w:type="dxa"/>
            <w:tcBorders>
              <w:top w:val="single" w:sz="4" w:space="0" w:color="000000"/>
              <w:left w:val="single" w:sz="4" w:space="0" w:color="000000"/>
              <w:bottom w:val="single" w:sz="4" w:space="0" w:color="000000"/>
              <w:right w:val="single" w:sz="4" w:space="0" w:color="000000"/>
            </w:tcBorders>
          </w:tcPr>
          <w:p w:rsidR="005D774A" w:rsidRDefault="005D774A" w:rsidP="005D774A">
            <w:pPr>
              <w:jc w:val="center"/>
              <w:rPr>
                <w:spacing w:val="-2"/>
                <w:sz w:val="23"/>
                <w:szCs w:val="23"/>
              </w:rPr>
            </w:pPr>
            <w:r>
              <w:rPr>
                <w:spacing w:val="-2"/>
                <w:sz w:val="23"/>
                <w:szCs w:val="23"/>
              </w:rPr>
              <w:t>Промивний розчин який використовується для промивання трубок, зонду реагентів для автоматичних біохімічних аналізаторів.</w:t>
            </w:r>
          </w:p>
          <w:p w:rsidR="00B05612" w:rsidRPr="00B05612" w:rsidRDefault="00B05612" w:rsidP="005D774A">
            <w:pPr>
              <w:jc w:val="center"/>
              <w:rPr>
                <w:spacing w:val="-2"/>
                <w:sz w:val="20"/>
                <w:szCs w:val="20"/>
              </w:rPr>
            </w:pPr>
            <w:r w:rsidRPr="00B05612">
              <w:rPr>
                <w:bCs/>
                <w:spacing w:val="-2"/>
                <w:sz w:val="20"/>
                <w:szCs w:val="20"/>
              </w:rPr>
              <w:t>Для аналізатор</w:t>
            </w:r>
            <w:r w:rsidRPr="00B05612">
              <w:rPr>
                <w:bCs/>
                <w:spacing w:val="-2"/>
                <w:sz w:val="20"/>
                <w:szCs w:val="20"/>
              </w:rPr>
              <w:t>а</w:t>
            </w:r>
            <w:r w:rsidRPr="00B05612">
              <w:rPr>
                <w:bCs/>
                <w:spacing w:val="-2"/>
                <w:sz w:val="20"/>
                <w:szCs w:val="20"/>
              </w:rPr>
              <w:t xml:space="preserve"> </w:t>
            </w:r>
            <w:proofErr w:type="spellStart"/>
            <w:r w:rsidRPr="00B05612">
              <w:rPr>
                <w:bCs/>
                <w:spacing w:val="-2"/>
                <w:sz w:val="20"/>
                <w:szCs w:val="20"/>
              </w:rPr>
              <w:t>Biossays</w:t>
            </w:r>
            <w:proofErr w:type="spellEnd"/>
            <w:r w:rsidRPr="00B05612">
              <w:rPr>
                <w:bCs/>
                <w:spacing w:val="-2"/>
                <w:sz w:val="20"/>
                <w:szCs w:val="20"/>
              </w:rPr>
              <w:t xml:space="preserve"> 240 </w:t>
            </w:r>
            <w:proofErr w:type="spellStart"/>
            <w:r w:rsidRPr="00B05612">
              <w:rPr>
                <w:bCs/>
                <w:spacing w:val="-2"/>
                <w:sz w:val="20"/>
                <w:szCs w:val="20"/>
              </w:rPr>
              <w:t>Plus</w:t>
            </w:r>
            <w:proofErr w:type="spellEnd"/>
          </w:p>
        </w:tc>
      </w:tr>
    </w:tbl>
    <w:p w:rsidR="007618DA" w:rsidRDefault="007618DA" w:rsidP="00763EDB"/>
    <w:p w:rsidR="007618DA" w:rsidRDefault="007618DA" w:rsidP="00763EDB"/>
    <w:p w:rsidR="00763EDB" w:rsidRPr="00182E0B" w:rsidRDefault="00763EDB" w:rsidP="00763EDB">
      <w:r w:rsidRPr="00182E0B">
        <w:t xml:space="preserve">* у разі наявності в технічних вимогах посилання на конкретну торгівельну марку чи фірму, джерело походження або виробника – читати з виразом «або еквівалент». Усі показники еквіваленту мають бути не гіршими, ніж у зазначеному товарі. Учасник повинен надати </w:t>
      </w:r>
      <w:bookmarkStart w:id="5" w:name="_GoBack"/>
      <w:bookmarkEnd w:id="5"/>
      <w:r w:rsidRPr="00182E0B">
        <w:t>належним чином засвідченні копії документів, які підтверджують еквівалентність запропонованого товару. У разі відсутності таких підтверджуючих документів, запропонований як еквівалент, товар оцінюватись не буде.</w:t>
      </w:r>
    </w:p>
    <w:p w:rsidR="00763EDB" w:rsidRPr="00182E0B" w:rsidRDefault="00763EDB" w:rsidP="00763EDB">
      <w:r w:rsidRPr="00182E0B">
        <w:t>**з метою єдиного та належного застосування найменування одиниць виміру товару, відповідно Класифікатора системи позначень одиниць вимірювання та обліку, вважати тотожними одиниці виміру «пакунок» та «упаковка», скорочено «</w:t>
      </w:r>
      <w:proofErr w:type="spellStart"/>
      <w:r w:rsidRPr="00182E0B">
        <w:t>уп</w:t>
      </w:r>
      <w:proofErr w:type="spellEnd"/>
      <w:r w:rsidRPr="00182E0B">
        <w:t>».</w:t>
      </w:r>
    </w:p>
    <w:p w:rsidR="00722B95" w:rsidRPr="00182E0B" w:rsidRDefault="00722B95" w:rsidP="00763EDB"/>
    <w:p w:rsidR="00722B95" w:rsidRPr="00182E0B" w:rsidRDefault="00722B95" w:rsidP="00763EDB"/>
    <w:p w:rsidR="00420882" w:rsidRPr="00182E0B" w:rsidRDefault="00420882" w:rsidP="00814AB7">
      <w:pPr>
        <w:pStyle w:val="a5"/>
        <w:spacing w:after="160" w:line="276" w:lineRule="auto"/>
        <w:ind w:left="502"/>
        <w:rPr>
          <w:b/>
          <w:lang w:val="uk-UA"/>
        </w:rPr>
      </w:pPr>
      <w:r w:rsidRPr="00182E0B">
        <w:rPr>
          <w:b/>
          <w:lang w:val="uk-UA"/>
        </w:rPr>
        <w:t>На підтвердження вимог Замовника, Учасник  повинен надати:</w:t>
      </w:r>
    </w:p>
    <w:p w:rsidR="00814AB7" w:rsidRPr="00182E0B" w:rsidRDefault="00814AB7" w:rsidP="00814AB7">
      <w:pPr>
        <w:pStyle w:val="a5"/>
        <w:spacing w:after="160" w:line="276" w:lineRule="auto"/>
        <w:ind w:left="502"/>
        <w:rPr>
          <w:lang w:val="uk-UA"/>
        </w:rPr>
      </w:pPr>
    </w:p>
    <w:p w:rsidR="005A0E19" w:rsidRPr="00182E0B" w:rsidRDefault="005D774A" w:rsidP="00A04FB7">
      <w:pPr>
        <w:pStyle w:val="a5"/>
        <w:numPr>
          <w:ilvl w:val="0"/>
          <w:numId w:val="8"/>
        </w:numPr>
        <w:spacing w:after="160" w:line="276" w:lineRule="auto"/>
        <w:rPr>
          <w:lang w:val="uk-UA"/>
        </w:rPr>
      </w:pPr>
      <w:r>
        <w:rPr>
          <w:rFonts w:eastAsia="Calibri"/>
          <w:bCs/>
          <w:lang w:val="uk-UA" w:eastAsia="zh-CN"/>
        </w:rPr>
        <w:t>К</w:t>
      </w:r>
      <w:r w:rsidR="000D55DA" w:rsidRPr="00182E0B">
        <w:rPr>
          <w:rFonts w:eastAsia="Calibri"/>
          <w:bCs/>
          <w:lang w:val="uk-UA" w:eastAsia="zh-CN"/>
        </w:rPr>
        <w:t>опії сертифікатів якості заводу-виробника, Декларацію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rsidR="005A0E19" w:rsidRPr="00182E0B">
        <w:rPr>
          <w:rFonts w:eastAsia="Calibri"/>
          <w:bCs/>
          <w:lang w:val="uk-UA" w:eastAsia="zh-CN"/>
        </w:rPr>
        <w:t xml:space="preserve"> товар</w:t>
      </w:r>
      <w:r w:rsidR="000D55DA" w:rsidRPr="00182E0B">
        <w:rPr>
          <w:rFonts w:eastAsia="Calibri"/>
          <w:bCs/>
          <w:lang w:val="uk-UA" w:eastAsia="zh-CN"/>
        </w:rPr>
        <w:t xml:space="preserve"> повинен бути оформлений відповідно до вимог законодавства України</w:t>
      </w:r>
      <w:r w:rsidR="005A0E19" w:rsidRPr="00182E0B">
        <w:rPr>
          <w:rFonts w:eastAsia="Calibri"/>
          <w:bCs/>
          <w:lang w:val="uk-UA" w:eastAsia="zh-CN"/>
        </w:rPr>
        <w:t>.</w:t>
      </w:r>
    </w:p>
    <w:p w:rsidR="00A04FB7" w:rsidRPr="00182E0B" w:rsidRDefault="00A04FB7" w:rsidP="00A04FB7">
      <w:pPr>
        <w:pStyle w:val="a5"/>
        <w:numPr>
          <w:ilvl w:val="0"/>
          <w:numId w:val="8"/>
        </w:numPr>
        <w:spacing w:after="160" w:line="276" w:lineRule="auto"/>
        <w:rPr>
          <w:lang w:val="uk-UA"/>
        </w:rPr>
      </w:pPr>
      <w:r w:rsidRPr="00182E0B">
        <w:rPr>
          <w:lang w:val="uk-UA"/>
        </w:rPr>
        <w:t xml:space="preserve">Копія дозволу або ліцензії (за їх відсутності – лист в довільній формі)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AF27AD" w:rsidRPr="00182E0B" w:rsidRDefault="00AF27AD" w:rsidP="00AF27AD">
      <w:pPr>
        <w:pStyle w:val="a5"/>
        <w:numPr>
          <w:ilvl w:val="0"/>
          <w:numId w:val="8"/>
        </w:numPr>
        <w:spacing w:after="160" w:line="276" w:lineRule="auto"/>
        <w:rPr>
          <w:lang w:val="uk-UA"/>
        </w:rPr>
      </w:pPr>
      <w:r w:rsidRPr="00182E0B">
        <w:rPr>
          <w:lang w:val="uk-UA"/>
        </w:rPr>
        <w:t>Учасник повинен підтвердити можливість поставки запропонованого ним Товару, у кількості та в терміни, визначені цією Докуме</w:t>
      </w:r>
      <w:r w:rsidR="005D774A">
        <w:rPr>
          <w:lang w:val="uk-UA"/>
        </w:rPr>
        <w:t>нтацією та пропозицією Учасника</w:t>
      </w:r>
      <w:r w:rsidRPr="00182E0B">
        <w:rPr>
          <w:lang w:val="uk-UA"/>
        </w:rPr>
        <w:t xml:space="preserve"> </w:t>
      </w:r>
      <w:r w:rsidR="005D774A">
        <w:rPr>
          <w:lang w:val="uk-UA"/>
        </w:rPr>
        <w:t>(</w:t>
      </w:r>
      <w:r w:rsidRPr="00182E0B">
        <w:rPr>
          <w:lang w:val="uk-UA"/>
        </w:rPr>
        <w:t>Надати гарантійний лист в довільній формі</w:t>
      </w:r>
      <w:r w:rsidR="005D774A">
        <w:rPr>
          <w:lang w:val="uk-UA"/>
        </w:rPr>
        <w:t>)</w:t>
      </w:r>
      <w:r w:rsidRPr="00182E0B">
        <w:rPr>
          <w:lang w:val="uk-UA"/>
        </w:rPr>
        <w:t>.</w:t>
      </w:r>
    </w:p>
    <w:p w:rsidR="00A04FB7" w:rsidRPr="00182E0B" w:rsidRDefault="00A04FB7" w:rsidP="00A04FB7">
      <w:pPr>
        <w:pStyle w:val="a5"/>
        <w:numPr>
          <w:ilvl w:val="0"/>
          <w:numId w:val="8"/>
        </w:numPr>
        <w:spacing w:after="160" w:line="276" w:lineRule="auto"/>
        <w:rPr>
          <w:lang w:val="uk-UA"/>
        </w:rPr>
      </w:pPr>
      <w:r w:rsidRPr="00182E0B">
        <w:rPr>
          <w:lang w:val="uk-UA"/>
        </w:rPr>
        <w:t>Довідка у довільній формі про підтвердження застосування заходів із захисту довкілля.</w:t>
      </w:r>
    </w:p>
    <w:p w:rsidR="00A04FB7" w:rsidRDefault="00A04FB7" w:rsidP="00A04FB7">
      <w:pPr>
        <w:pStyle w:val="a5"/>
        <w:spacing w:after="160" w:line="276" w:lineRule="auto"/>
        <w:ind w:left="644"/>
      </w:pPr>
    </w:p>
    <w:p w:rsidR="00A04FB7" w:rsidRPr="00182E0B" w:rsidRDefault="00A04FB7" w:rsidP="00A04FB7">
      <w:pPr>
        <w:pStyle w:val="a5"/>
        <w:spacing w:after="160" w:line="276" w:lineRule="auto"/>
        <w:ind w:left="644"/>
        <w:rPr>
          <w:b/>
          <w:lang w:val="uk-UA"/>
        </w:rPr>
      </w:pPr>
      <w:r w:rsidRPr="00182E0B">
        <w:rPr>
          <w:b/>
          <w:lang w:val="uk-UA"/>
        </w:rPr>
        <w:t>Учасник гарантує:</w:t>
      </w:r>
    </w:p>
    <w:p w:rsidR="00A04FB7" w:rsidRPr="00182E0B" w:rsidRDefault="00A04FB7" w:rsidP="00A04FB7">
      <w:pPr>
        <w:pStyle w:val="a5"/>
        <w:numPr>
          <w:ilvl w:val="0"/>
          <w:numId w:val="9"/>
        </w:numPr>
        <w:spacing w:after="160" w:line="276" w:lineRule="auto"/>
        <w:ind w:hanging="720"/>
        <w:rPr>
          <w:lang w:val="uk-UA"/>
        </w:rPr>
      </w:pPr>
      <w:r w:rsidRPr="00182E0B">
        <w:rPr>
          <w:lang w:val="uk-UA"/>
        </w:rPr>
        <w:t xml:space="preserve"> Гарантійний термін придатності, на момент постачання товару,  повинен складати не менше 75 % від загального терміну придатності визначеного виробником або не менше 15 місяців. Надати гарантійний лист учасника в довільній формі.</w:t>
      </w:r>
      <w:r w:rsidR="005D774A">
        <w:rPr>
          <w:lang w:val="uk-UA"/>
        </w:rPr>
        <w:t xml:space="preserve"> (</w:t>
      </w:r>
      <w:r w:rsidR="005D774A" w:rsidRPr="00182E0B">
        <w:rPr>
          <w:lang w:val="uk-UA"/>
        </w:rPr>
        <w:t>Надати гарантійний лист в довільній формі</w:t>
      </w:r>
      <w:r w:rsidR="005D774A">
        <w:rPr>
          <w:lang w:val="uk-UA"/>
        </w:rPr>
        <w:t>).</w:t>
      </w:r>
    </w:p>
    <w:p w:rsidR="00A04FB7" w:rsidRPr="00182E0B" w:rsidRDefault="00A04FB7" w:rsidP="00A04FB7">
      <w:pPr>
        <w:pStyle w:val="a5"/>
        <w:numPr>
          <w:ilvl w:val="0"/>
          <w:numId w:val="9"/>
        </w:numPr>
        <w:spacing w:after="160" w:line="276" w:lineRule="auto"/>
        <w:ind w:hanging="644"/>
        <w:rPr>
          <w:lang w:val="uk-UA"/>
        </w:rPr>
      </w:pPr>
      <w:r w:rsidRPr="00182E0B">
        <w:rPr>
          <w:lang w:val="uk-UA"/>
        </w:rPr>
        <w:t xml:space="preserve"> Кожна партія товару, під час поставки, має супроводжуватись документами, що підтверджують їх якість (Свідоцтво про державну реєстрацію з додатком/Декларація про відповідність медичних виробів, Сертифікат/Паспорт якості, інструкції українською мовою тощо)</w:t>
      </w:r>
      <w:r w:rsidR="005D774A">
        <w:rPr>
          <w:lang w:val="uk-UA"/>
        </w:rPr>
        <w:t xml:space="preserve"> (</w:t>
      </w:r>
      <w:r w:rsidR="005D774A" w:rsidRPr="00182E0B">
        <w:rPr>
          <w:lang w:val="uk-UA"/>
        </w:rPr>
        <w:t>Надати гарантійний лист в довільній формі</w:t>
      </w:r>
      <w:r w:rsidR="005D774A">
        <w:rPr>
          <w:lang w:val="uk-UA"/>
        </w:rPr>
        <w:t>).</w:t>
      </w:r>
    </w:p>
    <w:p w:rsidR="00A04FB7" w:rsidRPr="00182E0B" w:rsidRDefault="00A04FB7" w:rsidP="00A04FB7">
      <w:pPr>
        <w:pStyle w:val="a5"/>
        <w:ind w:left="284"/>
        <w:rPr>
          <w:lang w:val="uk-UA"/>
        </w:rPr>
      </w:pPr>
    </w:p>
    <w:p w:rsidR="00763EDB" w:rsidRDefault="00763EDB" w:rsidP="00763EDB">
      <w:pPr>
        <w:spacing w:line="240" w:lineRule="atLeast"/>
        <w:jc w:val="right"/>
        <w:rPr>
          <w:b/>
          <w:i/>
          <w:sz w:val="20"/>
          <w:szCs w:val="20"/>
          <w:u w:val="single"/>
        </w:rPr>
      </w:pPr>
    </w:p>
    <w:bookmarkEnd w:id="0"/>
    <w:bookmarkEnd w:id="1"/>
    <w:bookmarkEnd w:id="2"/>
    <w:bookmarkEnd w:id="3"/>
    <w:bookmarkEnd w:id="4"/>
    <w:p w:rsidR="00AF27AD" w:rsidRDefault="00AF27AD" w:rsidP="00763EDB">
      <w:pPr>
        <w:spacing w:line="240" w:lineRule="atLeast"/>
        <w:jc w:val="right"/>
        <w:rPr>
          <w:b/>
          <w:i/>
          <w:u w:val="single"/>
        </w:rPr>
      </w:pPr>
    </w:p>
    <w:p w:rsidR="00AF27AD" w:rsidRDefault="00AF27AD" w:rsidP="00763EDB">
      <w:pPr>
        <w:spacing w:line="240" w:lineRule="atLeast"/>
        <w:jc w:val="right"/>
        <w:rPr>
          <w:b/>
          <w:i/>
          <w:u w:val="single"/>
        </w:rPr>
      </w:pPr>
    </w:p>
    <w:p w:rsidR="00AF27AD" w:rsidRDefault="00AF27AD" w:rsidP="00763EDB">
      <w:pPr>
        <w:spacing w:line="240" w:lineRule="atLeast"/>
        <w:jc w:val="right"/>
        <w:rPr>
          <w:b/>
          <w:i/>
          <w:u w:val="single"/>
        </w:rPr>
      </w:pPr>
    </w:p>
    <w:sectPr w:rsidR="00AF27AD" w:rsidSect="0078068B">
      <w:pgSz w:w="11909" w:h="16838"/>
      <w:pgMar w:top="723" w:right="506" w:bottom="542"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6E09"/>
    <w:multiLevelType w:val="hybridMultilevel"/>
    <w:tmpl w:val="13AE73E4"/>
    <w:lvl w:ilvl="0" w:tplc="65D4F7BE">
      <w:start w:val="1"/>
      <w:numFmt w:val="decimal"/>
      <w:lvlText w:val="%1."/>
      <w:lvlJc w:val="left"/>
      <w:pPr>
        <w:ind w:left="928"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138745E2"/>
    <w:multiLevelType w:val="multilevel"/>
    <w:tmpl w:val="3FE2492A"/>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4B1709F"/>
    <w:multiLevelType w:val="hybridMultilevel"/>
    <w:tmpl w:val="BCA0D340"/>
    <w:lvl w:ilvl="0" w:tplc="17A8FDB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15:restartNumberingAfterBreak="0">
    <w:nsid w:val="31A7030D"/>
    <w:multiLevelType w:val="hybridMultilevel"/>
    <w:tmpl w:val="19BE0F3A"/>
    <w:lvl w:ilvl="0" w:tplc="9A9AA904">
      <w:start w:val="1"/>
      <w:numFmt w:val="decimal"/>
      <w:lvlText w:val="%1."/>
      <w:lvlJc w:val="left"/>
      <w:pPr>
        <w:ind w:left="502"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3CD1EB4"/>
    <w:multiLevelType w:val="hybridMultilevel"/>
    <w:tmpl w:val="9CD2B66A"/>
    <w:lvl w:ilvl="0" w:tplc="E306E2E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97280B"/>
    <w:multiLevelType w:val="hybridMultilevel"/>
    <w:tmpl w:val="464C57CA"/>
    <w:lvl w:ilvl="0" w:tplc="567A1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8A13D7"/>
    <w:multiLevelType w:val="multilevel"/>
    <w:tmpl w:val="9FB8F1BA"/>
    <w:lvl w:ilvl="0">
      <w:start w:val="7"/>
      <w:numFmt w:val="decimal"/>
      <w:lvlText w:val="%1."/>
      <w:lvlJc w:val="left"/>
      <w:pPr>
        <w:ind w:left="430" w:hanging="360"/>
      </w:pPr>
      <w:rPr>
        <w:rFonts w:hint="default"/>
        <w:b/>
      </w:rPr>
    </w:lvl>
    <w:lvl w:ilvl="1">
      <w:start w:val="1"/>
      <w:numFmt w:val="decimal"/>
      <w:isLgl/>
      <w:lvlText w:val="%1.%2"/>
      <w:lvlJc w:val="left"/>
      <w:pPr>
        <w:ind w:left="430" w:hanging="360"/>
      </w:pPr>
      <w:rPr>
        <w:rFonts w:hint="default"/>
        <w:b/>
      </w:rPr>
    </w:lvl>
    <w:lvl w:ilvl="2">
      <w:start w:val="1"/>
      <w:numFmt w:val="decimal"/>
      <w:isLgl/>
      <w:lvlText w:val="%1.%2.%3"/>
      <w:lvlJc w:val="left"/>
      <w:pPr>
        <w:ind w:left="790" w:hanging="720"/>
      </w:pPr>
      <w:rPr>
        <w:rFonts w:hint="default"/>
        <w:b/>
      </w:rPr>
    </w:lvl>
    <w:lvl w:ilvl="3">
      <w:start w:val="1"/>
      <w:numFmt w:val="decimal"/>
      <w:isLgl/>
      <w:lvlText w:val="%1.%2.%3.%4"/>
      <w:lvlJc w:val="left"/>
      <w:pPr>
        <w:ind w:left="790" w:hanging="720"/>
      </w:pPr>
      <w:rPr>
        <w:rFonts w:hint="default"/>
        <w:b/>
      </w:rPr>
    </w:lvl>
    <w:lvl w:ilvl="4">
      <w:start w:val="1"/>
      <w:numFmt w:val="decimal"/>
      <w:isLgl/>
      <w:lvlText w:val="%1.%2.%3.%4.%5"/>
      <w:lvlJc w:val="left"/>
      <w:pPr>
        <w:ind w:left="1150" w:hanging="1080"/>
      </w:pPr>
      <w:rPr>
        <w:rFonts w:hint="default"/>
        <w:b/>
      </w:rPr>
    </w:lvl>
    <w:lvl w:ilvl="5">
      <w:start w:val="1"/>
      <w:numFmt w:val="decimal"/>
      <w:isLgl/>
      <w:lvlText w:val="%1.%2.%3.%4.%5.%6"/>
      <w:lvlJc w:val="left"/>
      <w:pPr>
        <w:ind w:left="1150" w:hanging="1080"/>
      </w:pPr>
      <w:rPr>
        <w:rFonts w:hint="default"/>
        <w:b/>
      </w:rPr>
    </w:lvl>
    <w:lvl w:ilvl="6">
      <w:start w:val="1"/>
      <w:numFmt w:val="decimal"/>
      <w:isLgl/>
      <w:lvlText w:val="%1.%2.%3.%4.%5.%6.%7"/>
      <w:lvlJc w:val="left"/>
      <w:pPr>
        <w:ind w:left="1510" w:hanging="1440"/>
      </w:pPr>
      <w:rPr>
        <w:rFonts w:hint="default"/>
        <w:b/>
      </w:rPr>
    </w:lvl>
    <w:lvl w:ilvl="7">
      <w:start w:val="1"/>
      <w:numFmt w:val="decimal"/>
      <w:isLgl/>
      <w:lvlText w:val="%1.%2.%3.%4.%5.%6.%7.%8"/>
      <w:lvlJc w:val="left"/>
      <w:pPr>
        <w:ind w:left="1510" w:hanging="1440"/>
      </w:pPr>
      <w:rPr>
        <w:rFonts w:hint="default"/>
        <w:b/>
      </w:rPr>
    </w:lvl>
    <w:lvl w:ilvl="8">
      <w:start w:val="1"/>
      <w:numFmt w:val="decimal"/>
      <w:isLgl/>
      <w:lvlText w:val="%1.%2.%3.%4.%5.%6.%7.%8.%9"/>
      <w:lvlJc w:val="left"/>
      <w:pPr>
        <w:ind w:left="1870" w:hanging="1800"/>
      </w:pPr>
      <w:rPr>
        <w:rFonts w:hint="default"/>
        <w:b/>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6"/>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D4"/>
    <w:rsid w:val="00000D18"/>
    <w:rsid w:val="000568BE"/>
    <w:rsid w:val="000D55DA"/>
    <w:rsid w:val="000F67A6"/>
    <w:rsid w:val="001000A7"/>
    <w:rsid w:val="00104949"/>
    <w:rsid w:val="0017760F"/>
    <w:rsid w:val="00182E0B"/>
    <w:rsid w:val="001867A4"/>
    <w:rsid w:val="0022428F"/>
    <w:rsid w:val="00262785"/>
    <w:rsid w:val="00352987"/>
    <w:rsid w:val="00374B13"/>
    <w:rsid w:val="00400A76"/>
    <w:rsid w:val="00403FB5"/>
    <w:rsid w:val="004051FD"/>
    <w:rsid w:val="004122F4"/>
    <w:rsid w:val="0041584D"/>
    <w:rsid w:val="00420882"/>
    <w:rsid w:val="00421EA3"/>
    <w:rsid w:val="004258AF"/>
    <w:rsid w:val="00447E92"/>
    <w:rsid w:val="004A6684"/>
    <w:rsid w:val="004E3530"/>
    <w:rsid w:val="00586968"/>
    <w:rsid w:val="005A0E19"/>
    <w:rsid w:val="005A57CE"/>
    <w:rsid w:val="005C3757"/>
    <w:rsid w:val="005D774A"/>
    <w:rsid w:val="005E0E95"/>
    <w:rsid w:val="00606C48"/>
    <w:rsid w:val="00627684"/>
    <w:rsid w:val="0067140E"/>
    <w:rsid w:val="00675AE6"/>
    <w:rsid w:val="00722B95"/>
    <w:rsid w:val="00732DBE"/>
    <w:rsid w:val="007450D4"/>
    <w:rsid w:val="007618DA"/>
    <w:rsid w:val="00763EDB"/>
    <w:rsid w:val="00814AB7"/>
    <w:rsid w:val="00816E1C"/>
    <w:rsid w:val="00837AA6"/>
    <w:rsid w:val="008565EE"/>
    <w:rsid w:val="00873670"/>
    <w:rsid w:val="008B4CF0"/>
    <w:rsid w:val="00935D34"/>
    <w:rsid w:val="00984D45"/>
    <w:rsid w:val="009B4C2A"/>
    <w:rsid w:val="009B750D"/>
    <w:rsid w:val="00A04FB7"/>
    <w:rsid w:val="00A20DCF"/>
    <w:rsid w:val="00AF27AD"/>
    <w:rsid w:val="00B05612"/>
    <w:rsid w:val="00B1469E"/>
    <w:rsid w:val="00B8162E"/>
    <w:rsid w:val="00C42254"/>
    <w:rsid w:val="00C72409"/>
    <w:rsid w:val="00CF5AA0"/>
    <w:rsid w:val="00D718B9"/>
    <w:rsid w:val="00DA3DFE"/>
    <w:rsid w:val="00DD7D6A"/>
    <w:rsid w:val="00E03AC5"/>
    <w:rsid w:val="00E834AC"/>
    <w:rsid w:val="00E936D4"/>
    <w:rsid w:val="00EB5541"/>
    <w:rsid w:val="00ED5F94"/>
    <w:rsid w:val="00F3148F"/>
    <w:rsid w:val="00FB5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88367-06AB-477A-BC4A-1E737195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D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9"/>
    <w:qFormat/>
    <w:rsid w:val="00763E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3EDB"/>
    <w:rPr>
      <w:rFonts w:ascii="Arial" w:eastAsia="Times New Roman" w:hAnsi="Arial" w:cs="Arial"/>
      <w:b/>
      <w:bCs/>
      <w:kern w:val="32"/>
      <w:sz w:val="32"/>
      <w:szCs w:val="32"/>
      <w:lang w:val="uk-UA" w:eastAsia="uk-UA"/>
    </w:rPr>
  </w:style>
  <w:style w:type="paragraph" w:styleId="a3">
    <w:name w:val="Normal (Web)"/>
    <w:aliases w:val="Знак2,Обычный (веб) Знак Знак Знак Знак,Обычный (веб) Знак Знак Знак,Обычный (Web),Обычный (веб) Знак1,Обычный (веб) Знак Знак1,Обычный (Web) Знак Знак Знак Знак,Обычный (веб) Знак Знак,Обычный (веб) Знак2 Знак Знак"/>
    <w:basedOn w:val="a"/>
    <w:link w:val="a4"/>
    <w:uiPriority w:val="99"/>
    <w:qFormat/>
    <w:rsid w:val="00763EDB"/>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Обычный (Web) Знак,Обычный (веб) Знак1 Знак,Обычный (веб) Знак Знак1 Знак,Обычный (Web) Знак Знак Знак Знак Знак,Обычный (веб) Знак Знак Знак1"/>
    <w:link w:val="a3"/>
    <w:uiPriority w:val="99"/>
    <w:locked/>
    <w:rsid w:val="00763EDB"/>
    <w:rPr>
      <w:rFonts w:ascii="Times New Roman" w:eastAsia="Times New Roman" w:hAnsi="Times New Roman" w:cs="Times New Roman"/>
      <w:sz w:val="24"/>
      <w:szCs w:val="24"/>
      <w:lang w:val="uk-UA" w:eastAsia="uk-UA"/>
    </w:rPr>
  </w:style>
  <w:style w:type="paragraph" w:customStyle="1" w:styleId="ng-binding">
    <w:name w:val="ng-binding"/>
    <w:basedOn w:val="a"/>
    <w:rsid w:val="00763EDB"/>
    <w:pPr>
      <w:spacing w:before="100" w:beforeAutospacing="1" w:after="100" w:afterAutospacing="1"/>
    </w:pPr>
    <w:rPr>
      <w:lang w:val="ru-RU" w:eastAsia="ru-RU"/>
    </w:rPr>
  </w:style>
  <w:style w:type="paragraph" w:styleId="a5">
    <w:name w:val="List Paragraph"/>
    <w:basedOn w:val="a"/>
    <w:qFormat/>
    <w:rsid w:val="00763EDB"/>
    <w:pPr>
      <w:ind w:left="720"/>
      <w:contextualSpacing/>
    </w:pPr>
    <w:rPr>
      <w:lang w:val="ru-RU" w:eastAsia="ru-RU"/>
    </w:rPr>
  </w:style>
  <w:style w:type="character" w:styleId="a6">
    <w:name w:val="Strong"/>
    <w:basedOn w:val="a0"/>
    <w:uiPriority w:val="99"/>
    <w:qFormat/>
    <w:rsid w:val="00763EDB"/>
    <w:rPr>
      <w:rFonts w:cs="Times New Roman"/>
      <w:b/>
    </w:rPr>
  </w:style>
  <w:style w:type="paragraph" w:styleId="a7">
    <w:name w:val="No Spacing"/>
    <w:link w:val="a8"/>
    <w:uiPriority w:val="1"/>
    <w:qFormat/>
    <w:rsid w:val="00763EDB"/>
    <w:pPr>
      <w:spacing w:after="0" w:line="240" w:lineRule="auto"/>
    </w:pPr>
    <w:rPr>
      <w:rFonts w:ascii="Calibri" w:eastAsia="Calibri" w:hAnsi="Calibri" w:cs="Times New Roman"/>
    </w:rPr>
  </w:style>
  <w:style w:type="character" w:customStyle="1" w:styleId="a8">
    <w:name w:val="Без интервала Знак"/>
    <w:link w:val="a7"/>
    <w:uiPriority w:val="1"/>
    <w:rsid w:val="00763EDB"/>
    <w:rPr>
      <w:rFonts w:ascii="Calibri" w:eastAsia="Calibri" w:hAnsi="Calibri" w:cs="Times New Roman"/>
    </w:rPr>
  </w:style>
  <w:style w:type="character" w:styleId="a9">
    <w:name w:val="Hyperlink"/>
    <w:basedOn w:val="a0"/>
    <w:uiPriority w:val="99"/>
    <w:unhideWhenUsed/>
    <w:rsid w:val="00722B95"/>
    <w:rPr>
      <w:color w:val="0000FF"/>
      <w:u w:val="single"/>
    </w:rPr>
  </w:style>
  <w:style w:type="character" w:styleId="aa">
    <w:name w:val="Emphasis"/>
    <w:qFormat/>
    <w:rsid w:val="00C72409"/>
    <w:rPr>
      <w:i/>
      <w:iCs/>
    </w:rPr>
  </w:style>
  <w:style w:type="character" w:customStyle="1" w:styleId="Hyperlink2">
    <w:name w:val="Hyperlink.2"/>
    <w:rsid w:val="004051FD"/>
    <w:rPr>
      <w:lang w:val="ru-RU"/>
    </w:rPr>
  </w:style>
  <w:style w:type="paragraph" w:customStyle="1" w:styleId="22">
    <w:name w:val="Основной текст с отступом 22"/>
    <w:basedOn w:val="a"/>
    <w:rsid w:val="004051FD"/>
    <w:pPr>
      <w:spacing w:after="120" w:line="480" w:lineRule="auto"/>
      <w:ind w:left="283"/>
    </w:pPr>
    <w:rPr>
      <w:rFonts w:ascii="Calibri" w:hAnsi="Calibri" w:cs="Calibri"/>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06664">
      <w:bodyDiv w:val="1"/>
      <w:marLeft w:val="0"/>
      <w:marRight w:val="0"/>
      <w:marTop w:val="0"/>
      <w:marBottom w:val="0"/>
      <w:divBdr>
        <w:top w:val="none" w:sz="0" w:space="0" w:color="auto"/>
        <w:left w:val="none" w:sz="0" w:space="0" w:color="auto"/>
        <w:bottom w:val="none" w:sz="0" w:space="0" w:color="auto"/>
        <w:right w:val="none" w:sz="0" w:space="0" w:color="auto"/>
      </w:divBdr>
    </w:div>
    <w:div w:id="939490390">
      <w:bodyDiv w:val="1"/>
      <w:marLeft w:val="0"/>
      <w:marRight w:val="0"/>
      <w:marTop w:val="0"/>
      <w:marBottom w:val="0"/>
      <w:divBdr>
        <w:top w:val="none" w:sz="0" w:space="0" w:color="auto"/>
        <w:left w:val="none" w:sz="0" w:space="0" w:color="auto"/>
        <w:bottom w:val="none" w:sz="0" w:space="0" w:color="auto"/>
        <w:right w:val="none" w:sz="0" w:space="0" w:color="auto"/>
      </w:divBdr>
    </w:div>
    <w:div w:id="1292714991">
      <w:bodyDiv w:val="1"/>
      <w:marLeft w:val="0"/>
      <w:marRight w:val="0"/>
      <w:marTop w:val="0"/>
      <w:marBottom w:val="0"/>
      <w:divBdr>
        <w:top w:val="none" w:sz="0" w:space="0" w:color="auto"/>
        <w:left w:val="none" w:sz="0" w:space="0" w:color="auto"/>
        <w:bottom w:val="none" w:sz="0" w:space="0" w:color="auto"/>
        <w:right w:val="none" w:sz="0" w:space="0" w:color="auto"/>
      </w:divBdr>
    </w:div>
    <w:div w:id="162492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ekonom1</cp:lastModifiedBy>
  <cp:revision>3</cp:revision>
  <dcterms:created xsi:type="dcterms:W3CDTF">2024-03-22T08:10:00Z</dcterms:created>
  <dcterms:modified xsi:type="dcterms:W3CDTF">2024-03-22T10:56:00Z</dcterms:modified>
</cp:coreProperties>
</file>