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62DEAF3" w:rsidR="003C5D16" w:rsidRDefault="0056081D" w:rsidP="00386F38">
      <w:pPr>
        <w:pBdr>
          <w:top w:val="nil"/>
          <w:left w:val="nil"/>
          <w:bottom w:val="nil"/>
          <w:right w:val="nil"/>
          <w:between w:val="nil"/>
        </w:pBdr>
        <w:jc w:val="both"/>
        <w:rPr>
          <w:b/>
          <w:sz w:val="24"/>
          <w:szCs w:val="24"/>
        </w:rPr>
      </w:pPr>
      <w:r w:rsidRPr="0056081D">
        <w:rPr>
          <w:b/>
          <w:bCs/>
          <w:sz w:val="28"/>
          <w:szCs w:val="28"/>
        </w:rPr>
        <w:t>Кріпильні деталі</w:t>
      </w:r>
      <w:r w:rsidRPr="00E74C3F">
        <w:rPr>
          <w:b/>
          <w:sz w:val="24"/>
          <w:szCs w:val="24"/>
        </w:rPr>
        <w:t xml:space="preserve"> </w:t>
      </w:r>
      <w:r w:rsidR="00B2331D" w:rsidRPr="00E74C3F">
        <w:rPr>
          <w:b/>
          <w:sz w:val="24"/>
          <w:szCs w:val="24"/>
        </w:rPr>
        <w:t xml:space="preserve">ДК 021:2015 </w:t>
      </w:r>
      <w:r w:rsidRPr="003E009C">
        <w:rPr>
          <w:b/>
          <w:bCs/>
          <w:i/>
          <w:iCs/>
          <w:sz w:val="28"/>
          <w:szCs w:val="28"/>
        </w:rPr>
        <w:t>44530000-4 Кріпильні деталі</w:t>
      </w:r>
      <w:r w:rsidR="003C5D16">
        <w:rPr>
          <w:b/>
          <w:sz w:val="24"/>
          <w:szCs w:val="24"/>
        </w:rPr>
        <w:t>:</w:t>
      </w:r>
    </w:p>
    <w:p w14:paraId="0E48BDC9" w14:textId="32AE665B"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r w:rsidR="00132002">
        <w:rPr>
          <w:b/>
          <w:sz w:val="24"/>
          <w:szCs w:val="24"/>
        </w:rPr>
        <w:t>-</w:t>
      </w:r>
    </w:p>
    <w:p w14:paraId="7BB6747E" w14:textId="77777777" w:rsidR="0056081D" w:rsidRPr="0056081D" w:rsidRDefault="0056081D" w:rsidP="00386F38">
      <w:pPr>
        <w:jc w:val="both"/>
        <w:rPr>
          <w:b/>
          <w:sz w:val="16"/>
          <w:szCs w:val="16"/>
        </w:rPr>
      </w:pP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8164" w:type="dxa"/>
        <w:tblLook w:val="04A0" w:firstRow="1" w:lastRow="0" w:firstColumn="1" w:lastColumn="0" w:noHBand="0" w:noVBand="1"/>
      </w:tblPr>
      <w:tblGrid>
        <w:gridCol w:w="421"/>
        <w:gridCol w:w="5103"/>
        <w:gridCol w:w="1120"/>
        <w:gridCol w:w="1520"/>
      </w:tblGrid>
      <w:tr w:rsidR="005266A2" w:rsidRPr="0056081D" w14:paraId="43CE5ABE" w14:textId="77777777" w:rsidTr="005266A2">
        <w:trPr>
          <w:trHeight w:val="201"/>
        </w:trPr>
        <w:tc>
          <w:tcPr>
            <w:tcW w:w="421" w:type="dxa"/>
            <w:tcBorders>
              <w:top w:val="single" w:sz="4" w:space="0" w:color="auto"/>
              <w:left w:val="single" w:sz="4" w:space="0" w:color="auto"/>
              <w:bottom w:val="nil"/>
              <w:right w:val="nil"/>
            </w:tcBorders>
            <w:shd w:val="clear" w:color="000000" w:fill="D9D9D9"/>
            <w:noWrap/>
            <w:vAlign w:val="center"/>
            <w:hideMark/>
          </w:tcPr>
          <w:p w14:paraId="24A2E311" w14:textId="77777777" w:rsidR="005266A2" w:rsidRPr="0056081D" w:rsidRDefault="005266A2" w:rsidP="00361EA7">
            <w:pPr>
              <w:jc w:val="center"/>
              <w:rPr>
                <w:sz w:val="22"/>
                <w:szCs w:val="22"/>
              </w:rPr>
            </w:pPr>
            <w:r w:rsidRPr="0056081D">
              <w:rPr>
                <w:sz w:val="22"/>
                <w:szCs w:val="22"/>
              </w:rPr>
              <w:t>1</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17EDB8D4" w14:textId="77777777" w:rsidR="005266A2" w:rsidRPr="0056081D" w:rsidRDefault="005266A2" w:rsidP="00361EA7">
            <w:pPr>
              <w:rPr>
                <w:sz w:val="22"/>
                <w:szCs w:val="22"/>
              </w:rPr>
            </w:pPr>
            <w:r w:rsidRPr="0056081D">
              <w:rPr>
                <w:sz w:val="22"/>
                <w:szCs w:val="22"/>
              </w:rPr>
              <w:t>Цвяхи 2х50</w:t>
            </w:r>
          </w:p>
        </w:tc>
        <w:tc>
          <w:tcPr>
            <w:tcW w:w="1120" w:type="dxa"/>
            <w:tcBorders>
              <w:top w:val="single" w:sz="4" w:space="0" w:color="auto"/>
              <w:left w:val="nil"/>
              <w:bottom w:val="nil"/>
              <w:right w:val="single" w:sz="4" w:space="0" w:color="auto"/>
            </w:tcBorders>
            <w:shd w:val="clear" w:color="000000" w:fill="D9D9D9"/>
            <w:noWrap/>
            <w:vAlign w:val="center"/>
            <w:hideMark/>
          </w:tcPr>
          <w:p w14:paraId="15D85298" w14:textId="77777777" w:rsidR="005266A2" w:rsidRPr="0056081D" w:rsidRDefault="005266A2" w:rsidP="00361EA7">
            <w:pPr>
              <w:jc w:val="center"/>
              <w:rPr>
                <w:sz w:val="22"/>
                <w:szCs w:val="22"/>
              </w:rPr>
            </w:pPr>
            <w:r w:rsidRPr="0056081D">
              <w:rPr>
                <w:sz w:val="22"/>
                <w:szCs w:val="22"/>
              </w:rPr>
              <w:t>кг</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26E53FD3" w14:textId="77777777" w:rsidR="005266A2" w:rsidRPr="0056081D" w:rsidRDefault="005266A2" w:rsidP="00361EA7">
            <w:pPr>
              <w:jc w:val="center"/>
              <w:rPr>
                <w:sz w:val="22"/>
                <w:szCs w:val="22"/>
              </w:rPr>
            </w:pPr>
            <w:r w:rsidRPr="0056081D">
              <w:rPr>
                <w:sz w:val="22"/>
                <w:szCs w:val="22"/>
              </w:rPr>
              <w:t>30</w:t>
            </w:r>
          </w:p>
        </w:tc>
      </w:tr>
      <w:tr w:rsidR="005266A2" w:rsidRPr="0056081D" w14:paraId="083C9398" w14:textId="77777777" w:rsidTr="005266A2">
        <w:trPr>
          <w:trHeight w:val="193"/>
        </w:trPr>
        <w:tc>
          <w:tcPr>
            <w:tcW w:w="421" w:type="dxa"/>
            <w:tcBorders>
              <w:top w:val="single" w:sz="4" w:space="0" w:color="auto"/>
              <w:left w:val="single" w:sz="4" w:space="0" w:color="auto"/>
              <w:bottom w:val="nil"/>
              <w:right w:val="nil"/>
            </w:tcBorders>
            <w:shd w:val="clear" w:color="000000" w:fill="D9D9D9"/>
            <w:noWrap/>
            <w:vAlign w:val="center"/>
            <w:hideMark/>
          </w:tcPr>
          <w:p w14:paraId="5E7C03BD" w14:textId="77777777" w:rsidR="005266A2" w:rsidRPr="0056081D" w:rsidRDefault="005266A2" w:rsidP="00361EA7">
            <w:pPr>
              <w:jc w:val="center"/>
              <w:rPr>
                <w:sz w:val="22"/>
                <w:szCs w:val="22"/>
              </w:rPr>
            </w:pPr>
            <w:r w:rsidRPr="0056081D">
              <w:rPr>
                <w:sz w:val="22"/>
                <w:szCs w:val="22"/>
              </w:rPr>
              <w:t>2</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56A845E5" w14:textId="77777777" w:rsidR="005266A2" w:rsidRPr="0056081D" w:rsidRDefault="005266A2" w:rsidP="00361EA7">
            <w:pPr>
              <w:rPr>
                <w:sz w:val="22"/>
                <w:szCs w:val="22"/>
              </w:rPr>
            </w:pPr>
            <w:r w:rsidRPr="0056081D">
              <w:rPr>
                <w:sz w:val="22"/>
                <w:szCs w:val="22"/>
              </w:rPr>
              <w:t>Цвяхи 2,5х60</w:t>
            </w:r>
          </w:p>
        </w:tc>
        <w:tc>
          <w:tcPr>
            <w:tcW w:w="1120" w:type="dxa"/>
            <w:tcBorders>
              <w:top w:val="single" w:sz="4" w:space="0" w:color="auto"/>
              <w:left w:val="nil"/>
              <w:bottom w:val="nil"/>
              <w:right w:val="single" w:sz="4" w:space="0" w:color="auto"/>
            </w:tcBorders>
            <w:shd w:val="clear" w:color="000000" w:fill="D9D9D9"/>
            <w:noWrap/>
            <w:vAlign w:val="center"/>
            <w:hideMark/>
          </w:tcPr>
          <w:p w14:paraId="108E5309" w14:textId="77777777" w:rsidR="005266A2" w:rsidRPr="0056081D" w:rsidRDefault="005266A2" w:rsidP="00361EA7">
            <w:pPr>
              <w:jc w:val="center"/>
              <w:rPr>
                <w:sz w:val="22"/>
                <w:szCs w:val="22"/>
              </w:rPr>
            </w:pPr>
            <w:r w:rsidRPr="0056081D">
              <w:rPr>
                <w:sz w:val="22"/>
                <w:szCs w:val="22"/>
              </w:rPr>
              <w:t>кг</w:t>
            </w:r>
          </w:p>
        </w:tc>
        <w:tc>
          <w:tcPr>
            <w:tcW w:w="1520" w:type="dxa"/>
            <w:tcBorders>
              <w:top w:val="nil"/>
              <w:left w:val="nil"/>
              <w:bottom w:val="nil"/>
              <w:right w:val="single" w:sz="4" w:space="0" w:color="auto"/>
            </w:tcBorders>
            <w:shd w:val="clear" w:color="000000" w:fill="D9D9D9"/>
            <w:noWrap/>
            <w:vAlign w:val="center"/>
            <w:hideMark/>
          </w:tcPr>
          <w:p w14:paraId="3F1448E0" w14:textId="77777777" w:rsidR="005266A2" w:rsidRPr="0056081D" w:rsidRDefault="005266A2" w:rsidP="00361EA7">
            <w:pPr>
              <w:jc w:val="center"/>
              <w:rPr>
                <w:sz w:val="22"/>
                <w:szCs w:val="22"/>
              </w:rPr>
            </w:pPr>
            <w:r w:rsidRPr="0056081D">
              <w:rPr>
                <w:sz w:val="22"/>
                <w:szCs w:val="22"/>
              </w:rPr>
              <w:t>30</w:t>
            </w:r>
          </w:p>
        </w:tc>
      </w:tr>
      <w:tr w:rsidR="005266A2" w:rsidRPr="0056081D" w14:paraId="69EDF174" w14:textId="77777777" w:rsidTr="005266A2">
        <w:trPr>
          <w:trHeight w:val="237"/>
        </w:trPr>
        <w:tc>
          <w:tcPr>
            <w:tcW w:w="421" w:type="dxa"/>
            <w:tcBorders>
              <w:top w:val="single" w:sz="4" w:space="0" w:color="auto"/>
              <w:left w:val="single" w:sz="4" w:space="0" w:color="auto"/>
              <w:bottom w:val="nil"/>
              <w:right w:val="nil"/>
            </w:tcBorders>
            <w:shd w:val="clear" w:color="000000" w:fill="D9D9D9"/>
            <w:noWrap/>
            <w:vAlign w:val="center"/>
            <w:hideMark/>
          </w:tcPr>
          <w:p w14:paraId="16F6D602" w14:textId="77777777" w:rsidR="005266A2" w:rsidRPr="0056081D" w:rsidRDefault="005266A2" w:rsidP="00361EA7">
            <w:pPr>
              <w:jc w:val="center"/>
              <w:rPr>
                <w:sz w:val="22"/>
                <w:szCs w:val="22"/>
              </w:rPr>
            </w:pPr>
            <w:r w:rsidRPr="0056081D">
              <w:rPr>
                <w:sz w:val="22"/>
                <w:szCs w:val="22"/>
              </w:rPr>
              <w:t>3</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167CCF83" w14:textId="77777777" w:rsidR="005266A2" w:rsidRPr="0056081D" w:rsidRDefault="005266A2" w:rsidP="00361EA7">
            <w:pPr>
              <w:rPr>
                <w:sz w:val="22"/>
                <w:szCs w:val="22"/>
              </w:rPr>
            </w:pPr>
            <w:r w:rsidRPr="0056081D">
              <w:rPr>
                <w:sz w:val="22"/>
                <w:szCs w:val="22"/>
              </w:rPr>
              <w:t>Цвяхи 3х70</w:t>
            </w:r>
          </w:p>
        </w:tc>
        <w:tc>
          <w:tcPr>
            <w:tcW w:w="1120" w:type="dxa"/>
            <w:tcBorders>
              <w:top w:val="single" w:sz="4" w:space="0" w:color="auto"/>
              <w:left w:val="nil"/>
              <w:bottom w:val="nil"/>
              <w:right w:val="single" w:sz="4" w:space="0" w:color="auto"/>
            </w:tcBorders>
            <w:shd w:val="clear" w:color="000000" w:fill="D9D9D9"/>
            <w:noWrap/>
            <w:vAlign w:val="center"/>
            <w:hideMark/>
          </w:tcPr>
          <w:p w14:paraId="4D31A4B0" w14:textId="77777777" w:rsidR="005266A2" w:rsidRPr="0056081D" w:rsidRDefault="005266A2" w:rsidP="00361EA7">
            <w:pPr>
              <w:jc w:val="center"/>
              <w:rPr>
                <w:sz w:val="22"/>
                <w:szCs w:val="22"/>
              </w:rPr>
            </w:pPr>
            <w:r w:rsidRPr="0056081D">
              <w:rPr>
                <w:sz w:val="22"/>
                <w:szCs w:val="22"/>
              </w:rPr>
              <w:t>кг</w:t>
            </w:r>
          </w:p>
        </w:tc>
        <w:tc>
          <w:tcPr>
            <w:tcW w:w="1520" w:type="dxa"/>
            <w:tcBorders>
              <w:top w:val="single" w:sz="4" w:space="0" w:color="auto"/>
              <w:left w:val="nil"/>
              <w:bottom w:val="nil"/>
              <w:right w:val="single" w:sz="4" w:space="0" w:color="auto"/>
            </w:tcBorders>
            <w:shd w:val="clear" w:color="000000" w:fill="D9D9D9"/>
            <w:noWrap/>
            <w:vAlign w:val="center"/>
            <w:hideMark/>
          </w:tcPr>
          <w:p w14:paraId="0487D473" w14:textId="77777777" w:rsidR="005266A2" w:rsidRPr="0056081D" w:rsidRDefault="005266A2" w:rsidP="00361EA7">
            <w:pPr>
              <w:jc w:val="center"/>
              <w:rPr>
                <w:sz w:val="22"/>
                <w:szCs w:val="22"/>
              </w:rPr>
            </w:pPr>
            <w:r w:rsidRPr="0056081D">
              <w:rPr>
                <w:sz w:val="22"/>
                <w:szCs w:val="22"/>
              </w:rPr>
              <w:t>30</w:t>
            </w:r>
          </w:p>
        </w:tc>
      </w:tr>
      <w:tr w:rsidR="005266A2" w:rsidRPr="0056081D" w14:paraId="3AE19E6D" w14:textId="77777777" w:rsidTr="005266A2">
        <w:trPr>
          <w:trHeight w:val="229"/>
        </w:trPr>
        <w:tc>
          <w:tcPr>
            <w:tcW w:w="421" w:type="dxa"/>
            <w:tcBorders>
              <w:top w:val="single" w:sz="4" w:space="0" w:color="auto"/>
              <w:left w:val="single" w:sz="4" w:space="0" w:color="auto"/>
              <w:bottom w:val="nil"/>
              <w:right w:val="nil"/>
            </w:tcBorders>
            <w:shd w:val="clear" w:color="000000" w:fill="D9D9D9"/>
            <w:noWrap/>
            <w:vAlign w:val="center"/>
            <w:hideMark/>
          </w:tcPr>
          <w:p w14:paraId="6854D963" w14:textId="77777777" w:rsidR="005266A2" w:rsidRPr="0056081D" w:rsidRDefault="005266A2" w:rsidP="00361EA7">
            <w:pPr>
              <w:jc w:val="center"/>
              <w:rPr>
                <w:sz w:val="22"/>
                <w:szCs w:val="22"/>
              </w:rPr>
            </w:pPr>
            <w:r w:rsidRPr="0056081D">
              <w:rPr>
                <w:sz w:val="22"/>
                <w:szCs w:val="22"/>
              </w:rPr>
              <w:t>4</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1A249A89" w14:textId="77777777" w:rsidR="005266A2" w:rsidRPr="0056081D" w:rsidRDefault="005266A2" w:rsidP="00361EA7">
            <w:pPr>
              <w:rPr>
                <w:sz w:val="22"/>
                <w:szCs w:val="22"/>
              </w:rPr>
            </w:pPr>
            <w:r w:rsidRPr="0056081D">
              <w:rPr>
                <w:sz w:val="22"/>
                <w:szCs w:val="22"/>
              </w:rPr>
              <w:t>Цвяхи шиферні 5х120</w:t>
            </w:r>
          </w:p>
        </w:tc>
        <w:tc>
          <w:tcPr>
            <w:tcW w:w="1120" w:type="dxa"/>
            <w:tcBorders>
              <w:top w:val="single" w:sz="4" w:space="0" w:color="auto"/>
              <w:left w:val="nil"/>
              <w:bottom w:val="nil"/>
              <w:right w:val="single" w:sz="4" w:space="0" w:color="auto"/>
            </w:tcBorders>
            <w:shd w:val="clear" w:color="000000" w:fill="D9D9D9"/>
            <w:noWrap/>
            <w:vAlign w:val="center"/>
            <w:hideMark/>
          </w:tcPr>
          <w:p w14:paraId="09493F02" w14:textId="77777777" w:rsidR="005266A2" w:rsidRPr="0056081D" w:rsidRDefault="005266A2" w:rsidP="00361EA7">
            <w:pPr>
              <w:jc w:val="center"/>
              <w:rPr>
                <w:sz w:val="22"/>
                <w:szCs w:val="22"/>
              </w:rPr>
            </w:pPr>
            <w:r w:rsidRPr="0056081D">
              <w:rPr>
                <w:sz w:val="22"/>
                <w:szCs w:val="22"/>
              </w:rPr>
              <w:t>кг</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5A02DCE8" w14:textId="77777777" w:rsidR="005266A2" w:rsidRPr="0056081D" w:rsidRDefault="005266A2" w:rsidP="00361EA7">
            <w:pPr>
              <w:jc w:val="center"/>
              <w:rPr>
                <w:sz w:val="22"/>
                <w:szCs w:val="22"/>
              </w:rPr>
            </w:pPr>
            <w:r w:rsidRPr="0056081D">
              <w:rPr>
                <w:sz w:val="22"/>
                <w:szCs w:val="22"/>
              </w:rPr>
              <w:t>50</w:t>
            </w:r>
          </w:p>
        </w:tc>
      </w:tr>
      <w:tr w:rsidR="005266A2" w:rsidRPr="0056081D" w14:paraId="65ED4B4B" w14:textId="77777777" w:rsidTr="005266A2">
        <w:trPr>
          <w:trHeight w:val="261"/>
        </w:trPr>
        <w:tc>
          <w:tcPr>
            <w:tcW w:w="421" w:type="dxa"/>
            <w:tcBorders>
              <w:top w:val="single" w:sz="4" w:space="0" w:color="auto"/>
              <w:left w:val="single" w:sz="4" w:space="0" w:color="auto"/>
              <w:bottom w:val="nil"/>
              <w:right w:val="nil"/>
            </w:tcBorders>
            <w:shd w:val="clear" w:color="000000" w:fill="D9D9D9"/>
            <w:noWrap/>
            <w:vAlign w:val="center"/>
            <w:hideMark/>
          </w:tcPr>
          <w:p w14:paraId="7C8795E2" w14:textId="77777777" w:rsidR="005266A2" w:rsidRPr="0056081D" w:rsidRDefault="005266A2" w:rsidP="00361EA7">
            <w:pPr>
              <w:jc w:val="center"/>
              <w:rPr>
                <w:sz w:val="22"/>
                <w:szCs w:val="22"/>
              </w:rPr>
            </w:pPr>
            <w:r w:rsidRPr="0056081D">
              <w:rPr>
                <w:sz w:val="22"/>
                <w:szCs w:val="22"/>
              </w:rPr>
              <w:t>5</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788DFA95" w14:textId="77777777" w:rsidR="005266A2" w:rsidRPr="0056081D" w:rsidRDefault="005266A2" w:rsidP="00361EA7">
            <w:pPr>
              <w:rPr>
                <w:sz w:val="22"/>
                <w:szCs w:val="22"/>
              </w:rPr>
            </w:pPr>
            <w:r w:rsidRPr="0056081D">
              <w:rPr>
                <w:sz w:val="22"/>
                <w:szCs w:val="22"/>
              </w:rPr>
              <w:t>Саморіз фарбований 4,8*35 (метал-дерево) (7016)</w:t>
            </w:r>
          </w:p>
        </w:tc>
        <w:tc>
          <w:tcPr>
            <w:tcW w:w="1120" w:type="dxa"/>
            <w:tcBorders>
              <w:top w:val="single" w:sz="4" w:space="0" w:color="auto"/>
              <w:left w:val="nil"/>
              <w:bottom w:val="nil"/>
              <w:right w:val="single" w:sz="4" w:space="0" w:color="auto"/>
            </w:tcBorders>
            <w:shd w:val="clear" w:color="000000" w:fill="D9D9D9"/>
            <w:noWrap/>
            <w:vAlign w:val="center"/>
            <w:hideMark/>
          </w:tcPr>
          <w:p w14:paraId="79D30D27"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nil"/>
              <w:right w:val="single" w:sz="4" w:space="0" w:color="auto"/>
            </w:tcBorders>
            <w:shd w:val="clear" w:color="000000" w:fill="D9D9D9"/>
            <w:noWrap/>
            <w:vAlign w:val="center"/>
            <w:hideMark/>
          </w:tcPr>
          <w:p w14:paraId="30AC8815" w14:textId="77777777" w:rsidR="005266A2" w:rsidRPr="0056081D" w:rsidRDefault="005266A2" w:rsidP="00361EA7">
            <w:pPr>
              <w:jc w:val="center"/>
              <w:rPr>
                <w:sz w:val="22"/>
                <w:szCs w:val="22"/>
              </w:rPr>
            </w:pPr>
            <w:r w:rsidRPr="0056081D">
              <w:rPr>
                <w:sz w:val="22"/>
                <w:szCs w:val="22"/>
              </w:rPr>
              <w:t>9000</w:t>
            </w:r>
          </w:p>
        </w:tc>
      </w:tr>
      <w:tr w:rsidR="005266A2" w:rsidRPr="0056081D" w14:paraId="077E9A48" w14:textId="77777777" w:rsidTr="005266A2">
        <w:trPr>
          <w:trHeight w:val="265"/>
        </w:trPr>
        <w:tc>
          <w:tcPr>
            <w:tcW w:w="421" w:type="dxa"/>
            <w:tcBorders>
              <w:top w:val="single" w:sz="4" w:space="0" w:color="auto"/>
              <w:left w:val="single" w:sz="4" w:space="0" w:color="auto"/>
              <w:bottom w:val="nil"/>
              <w:right w:val="nil"/>
            </w:tcBorders>
            <w:shd w:val="clear" w:color="000000" w:fill="D9D9D9"/>
            <w:noWrap/>
            <w:vAlign w:val="center"/>
            <w:hideMark/>
          </w:tcPr>
          <w:p w14:paraId="5B6E68E4" w14:textId="77777777" w:rsidR="005266A2" w:rsidRPr="0056081D" w:rsidRDefault="005266A2" w:rsidP="00361EA7">
            <w:pPr>
              <w:jc w:val="center"/>
              <w:rPr>
                <w:sz w:val="22"/>
                <w:szCs w:val="22"/>
              </w:rPr>
            </w:pPr>
            <w:r w:rsidRPr="0056081D">
              <w:rPr>
                <w:sz w:val="22"/>
                <w:szCs w:val="22"/>
              </w:rPr>
              <w:t>6</w:t>
            </w:r>
          </w:p>
        </w:tc>
        <w:tc>
          <w:tcPr>
            <w:tcW w:w="5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BADB34" w14:textId="77777777" w:rsidR="005266A2" w:rsidRPr="0056081D" w:rsidRDefault="005266A2" w:rsidP="00361EA7">
            <w:pPr>
              <w:rPr>
                <w:sz w:val="22"/>
                <w:szCs w:val="22"/>
              </w:rPr>
            </w:pPr>
            <w:r w:rsidRPr="0056081D">
              <w:rPr>
                <w:sz w:val="22"/>
                <w:szCs w:val="22"/>
              </w:rPr>
              <w:t>Підвіс пружинний Метелик</w:t>
            </w:r>
          </w:p>
        </w:tc>
        <w:tc>
          <w:tcPr>
            <w:tcW w:w="1120" w:type="dxa"/>
            <w:tcBorders>
              <w:top w:val="single" w:sz="4" w:space="0" w:color="auto"/>
              <w:left w:val="nil"/>
              <w:bottom w:val="single" w:sz="4" w:space="0" w:color="auto"/>
              <w:right w:val="single" w:sz="4" w:space="0" w:color="auto"/>
            </w:tcBorders>
            <w:shd w:val="clear" w:color="000000" w:fill="D9D9D9"/>
            <w:noWrap/>
            <w:vAlign w:val="center"/>
            <w:hideMark/>
          </w:tcPr>
          <w:p w14:paraId="5C7834B4" w14:textId="77777777" w:rsidR="005266A2" w:rsidRPr="0056081D" w:rsidRDefault="005266A2" w:rsidP="00361EA7">
            <w:pPr>
              <w:jc w:val="center"/>
              <w:rPr>
                <w:sz w:val="22"/>
                <w:szCs w:val="22"/>
              </w:rPr>
            </w:pPr>
            <w:r w:rsidRPr="0056081D">
              <w:rPr>
                <w:sz w:val="22"/>
                <w:szCs w:val="22"/>
              </w:rPr>
              <w:t>шт.</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0A8ABCEE" w14:textId="77777777" w:rsidR="005266A2" w:rsidRPr="0056081D" w:rsidRDefault="005266A2" w:rsidP="00361EA7">
            <w:pPr>
              <w:jc w:val="center"/>
              <w:rPr>
                <w:sz w:val="22"/>
                <w:szCs w:val="22"/>
              </w:rPr>
            </w:pPr>
            <w:r w:rsidRPr="0056081D">
              <w:rPr>
                <w:sz w:val="22"/>
                <w:szCs w:val="22"/>
              </w:rPr>
              <w:t>350</w:t>
            </w:r>
          </w:p>
        </w:tc>
      </w:tr>
      <w:tr w:rsidR="005266A2" w:rsidRPr="0056081D" w14:paraId="280EE8BF" w14:textId="77777777" w:rsidTr="005266A2">
        <w:trPr>
          <w:trHeight w:val="269"/>
        </w:trPr>
        <w:tc>
          <w:tcPr>
            <w:tcW w:w="421" w:type="dxa"/>
            <w:tcBorders>
              <w:top w:val="single" w:sz="4" w:space="0" w:color="auto"/>
              <w:left w:val="single" w:sz="4" w:space="0" w:color="auto"/>
              <w:bottom w:val="nil"/>
              <w:right w:val="nil"/>
            </w:tcBorders>
            <w:shd w:val="clear" w:color="000000" w:fill="D9D9D9"/>
            <w:noWrap/>
            <w:vAlign w:val="center"/>
            <w:hideMark/>
          </w:tcPr>
          <w:p w14:paraId="1EF168E4" w14:textId="77777777" w:rsidR="005266A2" w:rsidRPr="0056081D" w:rsidRDefault="005266A2" w:rsidP="00361EA7">
            <w:pPr>
              <w:jc w:val="center"/>
              <w:rPr>
                <w:sz w:val="22"/>
                <w:szCs w:val="22"/>
              </w:rPr>
            </w:pPr>
            <w:r w:rsidRPr="0056081D">
              <w:rPr>
                <w:sz w:val="22"/>
                <w:szCs w:val="22"/>
              </w:rPr>
              <w:t>7</w:t>
            </w:r>
          </w:p>
        </w:tc>
        <w:tc>
          <w:tcPr>
            <w:tcW w:w="5103" w:type="dxa"/>
            <w:tcBorders>
              <w:top w:val="nil"/>
              <w:left w:val="single" w:sz="4" w:space="0" w:color="auto"/>
              <w:bottom w:val="single" w:sz="4" w:space="0" w:color="auto"/>
              <w:right w:val="single" w:sz="4" w:space="0" w:color="auto"/>
            </w:tcBorders>
            <w:shd w:val="clear" w:color="000000" w:fill="D9D9D9"/>
            <w:vAlign w:val="center"/>
            <w:hideMark/>
          </w:tcPr>
          <w:p w14:paraId="2E51B72A" w14:textId="77777777" w:rsidR="005266A2" w:rsidRPr="0056081D" w:rsidRDefault="005266A2" w:rsidP="00361EA7">
            <w:pPr>
              <w:rPr>
                <w:sz w:val="22"/>
                <w:szCs w:val="22"/>
              </w:rPr>
            </w:pPr>
            <w:r w:rsidRPr="0056081D">
              <w:rPr>
                <w:sz w:val="22"/>
                <w:szCs w:val="22"/>
              </w:rPr>
              <w:t>Дріт гачок L=500</w:t>
            </w:r>
          </w:p>
        </w:tc>
        <w:tc>
          <w:tcPr>
            <w:tcW w:w="1120" w:type="dxa"/>
            <w:tcBorders>
              <w:top w:val="nil"/>
              <w:left w:val="nil"/>
              <w:bottom w:val="single" w:sz="4" w:space="0" w:color="auto"/>
              <w:right w:val="single" w:sz="4" w:space="0" w:color="auto"/>
            </w:tcBorders>
            <w:shd w:val="clear" w:color="000000" w:fill="D9D9D9"/>
            <w:noWrap/>
            <w:vAlign w:val="center"/>
            <w:hideMark/>
          </w:tcPr>
          <w:p w14:paraId="0FEC92EA"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single" w:sz="4" w:space="0" w:color="auto"/>
              <w:right w:val="single" w:sz="4" w:space="0" w:color="auto"/>
            </w:tcBorders>
            <w:shd w:val="clear" w:color="000000" w:fill="D9D9D9"/>
            <w:vAlign w:val="center"/>
            <w:hideMark/>
          </w:tcPr>
          <w:p w14:paraId="01CCC785" w14:textId="77777777" w:rsidR="005266A2" w:rsidRPr="0056081D" w:rsidRDefault="005266A2" w:rsidP="00361EA7">
            <w:pPr>
              <w:jc w:val="center"/>
              <w:rPr>
                <w:sz w:val="22"/>
                <w:szCs w:val="22"/>
              </w:rPr>
            </w:pPr>
            <w:r w:rsidRPr="0056081D">
              <w:rPr>
                <w:sz w:val="22"/>
                <w:szCs w:val="22"/>
              </w:rPr>
              <w:t>351</w:t>
            </w:r>
          </w:p>
        </w:tc>
      </w:tr>
      <w:tr w:rsidR="005266A2" w:rsidRPr="0056081D" w14:paraId="14FE523E" w14:textId="77777777" w:rsidTr="005266A2">
        <w:trPr>
          <w:trHeight w:val="287"/>
        </w:trPr>
        <w:tc>
          <w:tcPr>
            <w:tcW w:w="421" w:type="dxa"/>
            <w:tcBorders>
              <w:top w:val="single" w:sz="4" w:space="0" w:color="auto"/>
              <w:left w:val="single" w:sz="4" w:space="0" w:color="auto"/>
              <w:bottom w:val="nil"/>
              <w:right w:val="nil"/>
            </w:tcBorders>
            <w:shd w:val="clear" w:color="000000" w:fill="D9D9D9"/>
            <w:noWrap/>
            <w:vAlign w:val="center"/>
            <w:hideMark/>
          </w:tcPr>
          <w:p w14:paraId="5F03C067" w14:textId="77777777" w:rsidR="005266A2" w:rsidRPr="0056081D" w:rsidRDefault="005266A2" w:rsidP="00361EA7">
            <w:pPr>
              <w:jc w:val="center"/>
              <w:rPr>
                <w:sz w:val="22"/>
                <w:szCs w:val="22"/>
              </w:rPr>
            </w:pPr>
            <w:r w:rsidRPr="0056081D">
              <w:rPr>
                <w:sz w:val="22"/>
                <w:szCs w:val="22"/>
              </w:rPr>
              <w:t>8</w:t>
            </w:r>
          </w:p>
        </w:tc>
        <w:tc>
          <w:tcPr>
            <w:tcW w:w="5103" w:type="dxa"/>
            <w:tcBorders>
              <w:top w:val="nil"/>
              <w:left w:val="single" w:sz="4" w:space="0" w:color="auto"/>
              <w:bottom w:val="single" w:sz="4" w:space="0" w:color="auto"/>
              <w:right w:val="single" w:sz="4" w:space="0" w:color="auto"/>
            </w:tcBorders>
            <w:shd w:val="clear" w:color="000000" w:fill="D9D9D9"/>
            <w:vAlign w:val="center"/>
            <w:hideMark/>
          </w:tcPr>
          <w:p w14:paraId="2DF9182B" w14:textId="77777777" w:rsidR="005266A2" w:rsidRPr="0056081D" w:rsidRDefault="005266A2" w:rsidP="00361EA7">
            <w:pPr>
              <w:rPr>
                <w:sz w:val="22"/>
                <w:szCs w:val="22"/>
              </w:rPr>
            </w:pPr>
            <w:r w:rsidRPr="0056081D">
              <w:rPr>
                <w:sz w:val="22"/>
                <w:szCs w:val="22"/>
              </w:rPr>
              <w:t>Дріт петля L=500</w:t>
            </w:r>
          </w:p>
        </w:tc>
        <w:tc>
          <w:tcPr>
            <w:tcW w:w="1120" w:type="dxa"/>
            <w:tcBorders>
              <w:top w:val="nil"/>
              <w:left w:val="nil"/>
              <w:bottom w:val="single" w:sz="4" w:space="0" w:color="auto"/>
              <w:right w:val="single" w:sz="4" w:space="0" w:color="auto"/>
            </w:tcBorders>
            <w:shd w:val="clear" w:color="000000" w:fill="D9D9D9"/>
            <w:noWrap/>
            <w:vAlign w:val="center"/>
            <w:hideMark/>
          </w:tcPr>
          <w:p w14:paraId="482100EA"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single" w:sz="4" w:space="0" w:color="auto"/>
              <w:right w:val="single" w:sz="4" w:space="0" w:color="auto"/>
            </w:tcBorders>
            <w:shd w:val="clear" w:color="000000" w:fill="D9D9D9"/>
            <w:vAlign w:val="center"/>
            <w:hideMark/>
          </w:tcPr>
          <w:p w14:paraId="352CDBF0" w14:textId="77777777" w:rsidR="005266A2" w:rsidRPr="0056081D" w:rsidRDefault="005266A2" w:rsidP="00361EA7">
            <w:pPr>
              <w:jc w:val="center"/>
              <w:rPr>
                <w:sz w:val="22"/>
                <w:szCs w:val="22"/>
              </w:rPr>
            </w:pPr>
            <w:r w:rsidRPr="0056081D">
              <w:rPr>
                <w:sz w:val="22"/>
                <w:szCs w:val="22"/>
              </w:rPr>
              <w:t>351</w:t>
            </w:r>
          </w:p>
        </w:tc>
      </w:tr>
      <w:tr w:rsidR="005266A2" w:rsidRPr="0056081D" w14:paraId="0BE85298" w14:textId="77777777" w:rsidTr="005266A2">
        <w:trPr>
          <w:trHeight w:val="263"/>
        </w:trPr>
        <w:tc>
          <w:tcPr>
            <w:tcW w:w="421" w:type="dxa"/>
            <w:tcBorders>
              <w:top w:val="single" w:sz="4" w:space="0" w:color="auto"/>
              <w:left w:val="single" w:sz="4" w:space="0" w:color="auto"/>
              <w:bottom w:val="nil"/>
              <w:right w:val="nil"/>
            </w:tcBorders>
            <w:shd w:val="clear" w:color="000000" w:fill="D9D9D9"/>
            <w:noWrap/>
            <w:vAlign w:val="center"/>
            <w:hideMark/>
          </w:tcPr>
          <w:p w14:paraId="7BA5D602" w14:textId="77777777" w:rsidR="005266A2" w:rsidRPr="0056081D" w:rsidRDefault="005266A2" w:rsidP="00361EA7">
            <w:pPr>
              <w:jc w:val="center"/>
              <w:rPr>
                <w:sz w:val="22"/>
                <w:szCs w:val="22"/>
              </w:rPr>
            </w:pPr>
            <w:r w:rsidRPr="0056081D">
              <w:rPr>
                <w:sz w:val="22"/>
                <w:szCs w:val="22"/>
              </w:rPr>
              <w:t>9</w:t>
            </w:r>
          </w:p>
        </w:tc>
        <w:tc>
          <w:tcPr>
            <w:tcW w:w="5103" w:type="dxa"/>
            <w:tcBorders>
              <w:top w:val="nil"/>
              <w:left w:val="single" w:sz="4" w:space="0" w:color="auto"/>
              <w:bottom w:val="single" w:sz="4" w:space="0" w:color="auto"/>
              <w:right w:val="single" w:sz="4" w:space="0" w:color="auto"/>
            </w:tcBorders>
            <w:shd w:val="clear" w:color="000000" w:fill="D9D9D9"/>
            <w:vAlign w:val="center"/>
            <w:hideMark/>
          </w:tcPr>
          <w:p w14:paraId="2410017D" w14:textId="77777777" w:rsidR="005266A2" w:rsidRPr="0056081D" w:rsidRDefault="005266A2" w:rsidP="00361EA7">
            <w:pPr>
              <w:rPr>
                <w:sz w:val="22"/>
                <w:szCs w:val="22"/>
              </w:rPr>
            </w:pPr>
            <w:r w:rsidRPr="0056081D">
              <w:rPr>
                <w:sz w:val="22"/>
                <w:szCs w:val="22"/>
              </w:rPr>
              <w:t>Дюбель анкерный BIERBACH 6x65</w:t>
            </w:r>
          </w:p>
        </w:tc>
        <w:tc>
          <w:tcPr>
            <w:tcW w:w="1120" w:type="dxa"/>
            <w:tcBorders>
              <w:top w:val="nil"/>
              <w:left w:val="nil"/>
              <w:bottom w:val="single" w:sz="4" w:space="0" w:color="auto"/>
              <w:right w:val="single" w:sz="4" w:space="0" w:color="auto"/>
            </w:tcBorders>
            <w:shd w:val="clear" w:color="000000" w:fill="D9D9D9"/>
            <w:noWrap/>
            <w:vAlign w:val="center"/>
            <w:hideMark/>
          </w:tcPr>
          <w:p w14:paraId="1515EE81"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single" w:sz="4" w:space="0" w:color="auto"/>
              <w:right w:val="single" w:sz="4" w:space="0" w:color="auto"/>
            </w:tcBorders>
            <w:shd w:val="clear" w:color="000000" w:fill="D9D9D9"/>
            <w:vAlign w:val="center"/>
            <w:hideMark/>
          </w:tcPr>
          <w:p w14:paraId="056B9964" w14:textId="77777777" w:rsidR="005266A2" w:rsidRPr="0056081D" w:rsidRDefault="005266A2" w:rsidP="00361EA7">
            <w:pPr>
              <w:jc w:val="center"/>
              <w:rPr>
                <w:sz w:val="22"/>
                <w:szCs w:val="22"/>
              </w:rPr>
            </w:pPr>
            <w:r w:rsidRPr="0056081D">
              <w:rPr>
                <w:sz w:val="22"/>
                <w:szCs w:val="22"/>
              </w:rPr>
              <w:t>350</w:t>
            </w:r>
          </w:p>
        </w:tc>
      </w:tr>
    </w:tbl>
    <w:p w14:paraId="3D41E960" w14:textId="77777777" w:rsidR="005266A2" w:rsidRPr="002102E3" w:rsidRDefault="005266A2" w:rsidP="00131DC8">
      <w:pPr>
        <w:pBdr>
          <w:top w:val="nil"/>
          <w:left w:val="nil"/>
          <w:bottom w:val="nil"/>
          <w:right w:val="nil"/>
          <w:between w:val="nil"/>
        </w:pBdr>
        <w:jc w:val="both"/>
        <w:rPr>
          <w:i/>
          <w:iCs/>
          <w:sz w:val="24"/>
          <w:szCs w:val="24"/>
        </w:rPr>
      </w:pP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219CD5C"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015C0E">
        <w:rPr>
          <w:b/>
          <w:bCs/>
          <w:sz w:val="24"/>
          <w:szCs w:val="24"/>
        </w:rPr>
        <w:t>37060</w:t>
      </w:r>
      <w:r w:rsidR="00F3276E" w:rsidRPr="00F3276E">
        <w:rPr>
          <w:b/>
          <w:bCs/>
          <w:sz w:val="24"/>
          <w:szCs w:val="24"/>
        </w:rPr>
        <w:t>,00</w:t>
      </w:r>
      <w:r w:rsidRPr="00F3276E">
        <w:rPr>
          <w:b/>
          <w:bCs/>
          <w:sz w:val="24"/>
          <w:szCs w:val="24"/>
        </w:rPr>
        <w:t xml:space="preserve"> грн. (</w:t>
      </w:r>
      <w:r w:rsidR="00015C0E">
        <w:rPr>
          <w:b/>
          <w:bCs/>
          <w:sz w:val="24"/>
          <w:szCs w:val="24"/>
        </w:rPr>
        <w:t>тридцять сім</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031499">
        <w:rPr>
          <w:b/>
          <w:bCs/>
          <w:sz w:val="24"/>
          <w:szCs w:val="24"/>
        </w:rPr>
        <w:t>шістдесят</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759D710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5CAA5298"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30014E">
        <w:rPr>
          <w:b/>
          <w:sz w:val="24"/>
          <w:szCs w:val="24"/>
          <w:lang w:val="ru-RU"/>
        </w:rPr>
        <w:t>11</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w:t>
      </w:r>
      <w:r w:rsidRPr="00E74C3F">
        <w:rPr>
          <w:sz w:val="24"/>
          <w:szCs w:val="24"/>
          <w:highlight w:val="white"/>
        </w:rPr>
        <w:lastRenderedPageBreak/>
        <w:t xml:space="preserve">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D64DD00"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260656">
        <w:rPr>
          <w:sz w:val="24"/>
          <w:szCs w:val="24"/>
        </w:rPr>
        <w:t>186</w:t>
      </w:r>
      <w:r w:rsidR="007413DA">
        <w:rPr>
          <w:sz w:val="24"/>
          <w:szCs w:val="24"/>
        </w:rPr>
        <w:t xml:space="preserve">,00 </w:t>
      </w:r>
      <w:r w:rsidRPr="00A26002">
        <w:rPr>
          <w:sz w:val="24"/>
          <w:szCs w:val="24"/>
        </w:rPr>
        <w:t>(</w:t>
      </w:r>
      <w:r w:rsidR="00260656">
        <w:rPr>
          <w:sz w:val="24"/>
          <w:szCs w:val="24"/>
        </w:rPr>
        <w:t>сто вісімдесят шість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w:t>
      </w:r>
      <w:r w:rsidRPr="00E74C3F">
        <w:rPr>
          <w:sz w:val="24"/>
          <w:szCs w:val="24"/>
        </w:rPr>
        <w:lastRenderedPageBreak/>
        <w:t xml:space="preserve">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w:t>
      </w:r>
      <w:r w:rsidRPr="00E74C3F">
        <w:rPr>
          <w:sz w:val="24"/>
          <w:szCs w:val="24"/>
        </w:rPr>
        <w:lastRenderedPageBreak/>
        <w:t>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F78F" w14:textId="77777777" w:rsidR="00266717" w:rsidRDefault="00266717">
      <w:r>
        <w:separator/>
      </w:r>
    </w:p>
  </w:endnote>
  <w:endnote w:type="continuationSeparator" w:id="0">
    <w:p w14:paraId="20A643F4" w14:textId="77777777" w:rsidR="00266717" w:rsidRDefault="002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F9CD" w14:textId="77777777" w:rsidR="00266717" w:rsidRDefault="00266717">
      <w:r>
        <w:separator/>
      </w:r>
    </w:p>
  </w:footnote>
  <w:footnote w:type="continuationSeparator" w:id="0">
    <w:p w14:paraId="0C423241" w14:textId="77777777" w:rsidR="00266717" w:rsidRDefault="0026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7C70"/>
    <w:rsid w:val="000608D1"/>
    <w:rsid w:val="000C06A6"/>
    <w:rsid w:val="000D61A3"/>
    <w:rsid w:val="000E74D4"/>
    <w:rsid w:val="0011165C"/>
    <w:rsid w:val="00111B69"/>
    <w:rsid w:val="00130B45"/>
    <w:rsid w:val="00131DC8"/>
    <w:rsid w:val="00132002"/>
    <w:rsid w:val="0017306F"/>
    <w:rsid w:val="001933C2"/>
    <w:rsid w:val="001A13D6"/>
    <w:rsid w:val="001C54AD"/>
    <w:rsid w:val="001D4008"/>
    <w:rsid w:val="001E1772"/>
    <w:rsid w:val="001E60FD"/>
    <w:rsid w:val="001E6BCB"/>
    <w:rsid w:val="00200230"/>
    <w:rsid w:val="002102E3"/>
    <w:rsid w:val="002102F8"/>
    <w:rsid w:val="00260656"/>
    <w:rsid w:val="00266717"/>
    <w:rsid w:val="00294D3D"/>
    <w:rsid w:val="002B450F"/>
    <w:rsid w:val="002D554D"/>
    <w:rsid w:val="002D70ED"/>
    <w:rsid w:val="002E0BD2"/>
    <w:rsid w:val="002E653C"/>
    <w:rsid w:val="0030014E"/>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3359"/>
    <w:rsid w:val="00513F8D"/>
    <w:rsid w:val="005229CC"/>
    <w:rsid w:val="005266A2"/>
    <w:rsid w:val="00534878"/>
    <w:rsid w:val="0056081D"/>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C38FB"/>
    <w:rsid w:val="006F5B5F"/>
    <w:rsid w:val="00711C27"/>
    <w:rsid w:val="007148AE"/>
    <w:rsid w:val="00715DBA"/>
    <w:rsid w:val="00716271"/>
    <w:rsid w:val="00731254"/>
    <w:rsid w:val="007412AB"/>
    <w:rsid w:val="007413DA"/>
    <w:rsid w:val="00772F42"/>
    <w:rsid w:val="007C3D0D"/>
    <w:rsid w:val="007C566A"/>
    <w:rsid w:val="007D6243"/>
    <w:rsid w:val="00821EB8"/>
    <w:rsid w:val="00833646"/>
    <w:rsid w:val="008537F7"/>
    <w:rsid w:val="008959AF"/>
    <w:rsid w:val="008B073E"/>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5328"/>
    <w:rsid w:val="00A76D10"/>
    <w:rsid w:val="00A875DD"/>
    <w:rsid w:val="00A97D96"/>
    <w:rsid w:val="00AA6D44"/>
    <w:rsid w:val="00AB4D81"/>
    <w:rsid w:val="00B2331D"/>
    <w:rsid w:val="00B26C29"/>
    <w:rsid w:val="00B54ED2"/>
    <w:rsid w:val="00B81DC0"/>
    <w:rsid w:val="00B873B3"/>
    <w:rsid w:val="00B913CC"/>
    <w:rsid w:val="00BC7208"/>
    <w:rsid w:val="00BE56EC"/>
    <w:rsid w:val="00C05B99"/>
    <w:rsid w:val="00C07D0F"/>
    <w:rsid w:val="00C1445B"/>
    <w:rsid w:val="00C16E63"/>
    <w:rsid w:val="00C27F5E"/>
    <w:rsid w:val="00C50BFE"/>
    <w:rsid w:val="00C72C03"/>
    <w:rsid w:val="00C80EAE"/>
    <w:rsid w:val="00C85181"/>
    <w:rsid w:val="00CA2A4E"/>
    <w:rsid w:val="00CD1A9E"/>
    <w:rsid w:val="00CD3D07"/>
    <w:rsid w:val="00CF280C"/>
    <w:rsid w:val="00D046F0"/>
    <w:rsid w:val="00D34D14"/>
    <w:rsid w:val="00D461CC"/>
    <w:rsid w:val="00D614EF"/>
    <w:rsid w:val="00D74122"/>
    <w:rsid w:val="00D7719D"/>
    <w:rsid w:val="00D84657"/>
    <w:rsid w:val="00D84ACB"/>
    <w:rsid w:val="00D84EF2"/>
    <w:rsid w:val="00D86F2B"/>
    <w:rsid w:val="00D91667"/>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8096</Words>
  <Characters>4616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275</cp:revision>
  <cp:lastPrinted>2023-08-25T07:57:00Z</cp:lastPrinted>
  <dcterms:created xsi:type="dcterms:W3CDTF">2023-08-28T09:34:00Z</dcterms:created>
  <dcterms:modified xsi:type="dcterms:W3CDTF">2024-03-29T08:59:00Z</dcterms:modified>
</cp:coreProperties>
</file>