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CF8C1" w14:textId="77777777" w:rsidR="00965AC1" w:rsidRPr="00256F60" w:rsidRDefault="0072536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F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14:paraId="73EFAF32" w14:textId="77777777" w:rsidR="00965AC1" w:rsidRPr="00256F60" w:rsidRDefault="0072536A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6F6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256F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B2A2FFC" w14:textId="77777777" w:rsidR="00822ABB" w:rsidRDefault="00822ABB" w:rsidP="0082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14:paraId="7BF89B9C" w14:textId="0C19F720" w:rsidR="00822ABB" w:rsidRDefault="0072536A" w:rsidP="0082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  <w:r w:rsidRPr="00F55AF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Інформація про необхідні технічні, якісні та кількісні </w:t>
      </w:r>
    </w:p>
    <w:p w14:paraId="4D20FC03" w14:textId="4CFF5F52" w:rsidR="00965AC1" w:rsidRPr="00F55AF8" w:rsidRDefault="0072536A" w:rsidP="00822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55AF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характеристики предмета закупівлі — технічні вимоги до предмета закупівлі</w:t>
      </w:r>
    </w:p>
    <w:p w14:paraId="4B25860C" w14:textId="77777777" w:rsidR="00822ABB" w:rsidRPr="00F55AF8" w:rsidRDefault="00822ABB" w:rsidP="00256F60">
      <w:pPr>
        <w:spacing w:before="240" w:after="0" w:line="240" w:lineRule="auto"/>
        <w:rPr>
          <w:rFonts w:ascii="Times New Roman" w:eastAsia="Times New Roman" w:hAnsi="Times New Roman" w:cs="Times New Roman"/>
          <w:b/>
          <w:color w:val="000000"/>
          <w:sz w:val="4"/>
          <w:szCs w:val="4"/>
        </w:rPr>
      </w:pPr>
    </w:p>
    <w:p w14:paraId="55617294" w14:textId="77777777" w:rsidR="00965AC1" w:rsidRPr="00F55AF8" w:rsidRDefault="00725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AF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ТЕХНІЧНА СПЕЦИФІКАЦІЯ</w:t>
      </w:r>
      <w:r w:rsidR="00007821" w:rsidRPr="00F55AF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16758C6F" w14:textId="77777777" w:rsidR="00C318F2" w:rsidRPr="003D096B" w:rsidRDefault="00C318F2" w:rsidP="00C31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0" w:name="_Hlk123832185"/>
    </w:p>
    <w:p w14:paraId="375F9BBC" w14:textId="77777777" w:rsidR="00214FA1" w:rsidRPr="00214FA1" w:rsidRDefault="00214FA1" w:rsidP="00214FA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" w:name="_Hlk128412293"/>
      <w:bookmarkStart w:id="2" w:name="_Hlk129699837"/>
      <w:bookmarkStart w:id="3" w:name="_Hlk130220363"/>
      <w:bookmarkStart w:id="4" w:name="_Hlk132705951"/>
      <w:r w:rsidRPr="00214F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</w:t>
      </w:r>
      <w:bookmarkStart w:id="5" w:name="_Hlk43887028"/>
      <w:r w:rsidRPr="00214F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4-та цифра основного словника «клас» національного </w:t>
      </w:r>
    </w:p>
    <w:p w14:paraId="69E64F70" w14:textId="77777777" w:rsidR="00214FA1" w:rsidRPr="00214FA1" w:rsidRDefault="00214FA1" w:rsidP="00214FA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F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класифікатора України ДК 021:2015 «Єдиний  закупівельний  словник» </w:t>
      </w:r>
    </w:p>
    <w:p w14:paraId="43827B37" w14:textId="77777777" w:rsidR="00214FA1" w:rsidRPr="00214FA1" w:rsidRDefault="00214FA1" w:rsidP="00214FA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4F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(CPV): </w:t>
      </w:r>
      <w:bookmarkStart w:id="6" w:name="_Hlk130221679"/>
      <w:r w:rsidRPr="00214FA1">
        <w:rPr>
          <w:rFonts w:ascii="Times New Roman" w:eastAsia="Times New Roman" w:hAnsi="Times New Roman" w:cs="Times New Roman"/>
          <w:sz w:val="24"/>
          <w:szCs w:val="28"/>
          <w:lang w:eastAsia="ru-RU"/>
        </w:rPr>
        <w:t>85140000-2 Послуги у сфері охорони здоров’я різні</w:t>
      </w:r>
    </w:p>
    <w:bookmarkEnd w:id="1"/>
    <w:bookmarkEnd w:id="2"/>
    <w:bookmarkEnd w:id="3"/>
    <w:bookmarkEnd w:id="5"/>
    <w:bookmarkEnd w:id="6"/>
    <w:p w14:paraId="2F616DE0" w14:textId="77777777" w:rsidR="00214FA1" w:rsidRPr="00214FA1" w:rsidRDefault="00214FA1" w:rsidP="00214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4FA1">
        <w:rPr>
          <w:rFonts w:ascii="Times New Roman" w:hAnsi="Times New Roman" w:cs="Times New Roman"/>
          <w:b/>
          <w:sz w:val="24"/>
          <w:szCs w:val="24"/>
          <w:lang w:eastAsia="ru-RU"/>
        </w:rPr>
        <w:t>Проведення попередніх (періодичних)</w:t>
      </w:r>
    </w:p>
    <w:p w14:paraId="47C0F53A" w14:textId="77777777" w:rsidR="00214FA1" w:rsidRPr="00214FA1" w:rsidRDefault="00214FA1" w:rsidP="00214F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214FA1">
        <w:rPr>
          <w:rFonts w:ascii="Times New Roman" w:hAnsi="Times New Roman" w:cs="Times New Roman"/>
          <w:b/>
          <w:sz w:val="24"/>
          <w:szCs w:val="24"/>
          <w:lang w:eastAsia="ru-RU"/>
        </w:rPr>
        <w:t>медичних оглядів працівників</w:t>
      </w:r>
    </w:p>
    <w:bookmarkEnd w:id="4"/>
    <w:p w14:paraId="71A6F233" w14:textId="61942934" w:rsidR="00214C5C" w:rsidRPr="003D096B" w:rsidRDefault="00214C5C" w:rsidP="003D096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14:paraId="7CE46C52" w14:textId="77777777" w:rsidR="00932CDB" w:rsidRPr="00932CDB" w:rsidRDefault="00932CDB" w:rsidP="00932C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2CDB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Проведення обов'язкових попередніх (періодичних) медичних оглядів працівників окремих професій, виробництв та організацій, діяльність яких пов'язана з обслуговуванням населення, та видачі їм особистих медичних книжок. </w:t>
      </w:r>
    </w:p>
    <w:p w14:paraId="621C8431" w14:textId="77777777" w:rsidR="00932CDB" w:rsidRPr="00932CDB" w:rsidRDefault="00932CDB" w:rsidP="00932CD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2CDB">
        <w:rPr>
          <w:rFonts w:ascii="Times New Roman" w:hAnsi="Times New Roman" w:cs="Times New Roman"/>
          <w:sz w:val="24"/>
          <w:szCs w:val="24"/>
          <w:lang w:eastAsia="en-US"/>
        </w:rPr>
        <w:t xml:space="preserve">Медичні огляди проводяться з метою запобігання поширенню інфекційних і паразитарних захворювань серед населення. </w:t>
      </w:r>
    </w:p>
    <w:p w14:paraId="0BFD96C5" w14:textId="76970B59" w:rsidR="00214C5C" w:rsidRDefault="00932CDB" w:rsidP="00932C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32CDB">
        <w:rPr>
          <w:rFonts w:ascii="Times New Roman" w:hAnsi="Times New Roman" w:cs="Times New Roman"/>
          <w:sz w:val="24"/>
          <w:szCs w:val="24"/>
          <w:lang w:eastAsia="en-US"/>
        </w:rPr>
        <w:t xml:space="preserve">Кількість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послуг</w:t>
      </w:r>
      <w:r w:rsidRPr="00932CD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0DC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– </w:t>
      </w:r>
      <w:r w:rsidR="00BC2458">
        <w:rPr>
          <w:rFonts w:ascii="Times New Roman" w:hAnsi="Times New Roman" w:cs="Times New Roman"/>
          <w:b/>
          <w:sz w:val="24"/>
          <w:szCs w:val="24"/>
          <w:lang w:eastAsia="en-US"/>
        </w:rPr>
        <w:t>2235</w:t>
      </w:r>
    </w:p>
    <w:p w14:paraId="0DA38758" w14:textId="558BEA06" w:rsidR="00214C5C" w:rsidRPr="003D096B" w:rsidRDefault="00214C5C" w:rsidP="00932CD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eastAsia="en-US"/>
        </w:rPr>
      </w:pPr>
    </w:p>
    <w:p w14:paraId="544C46B9" w14:textId="564CDCAF" w:rsidR="00932CDB" w:rsidRPr="00932CDB" w:rsidRDefault="00932CDB" w:rsidP="00932C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3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Учасник - Виконавець послуг повинен виконати комплекс заходів щодо проведення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932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періодичного обов’язкового профілактичного </w:t>
      </w:r>
      <w:r w:rsidRPr="0093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медичного огляду працівників закладів освіти Нововолинськ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ої міської територіальної громади</w:t>
      </w:r>
      <w:r w:rsidRPr="0093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відповідно до:</w:t>
      </w:r>
    </w:p>
    <w:p w14:paraId="0D41F92F" w14:textId="77777777" w:rsidR="00932CDB" w:rsidRPr="00932CDB" w:rsidRDefault="00932CDB" w:rsidP="00932CD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3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«Порядку проведення медичних оглядів працівників певних категорій», затвердженому Наказом Міністерства охорони здоров'я України від 21.05.2007 № 246 та зареєстрованому в Міністерстві юстиції України 23 липня 2007 р. за N 846/14113; </w:t>
      </w:r>
    </w:p>
    <w:p w14:paraId="3701289C" w14:textId="77777777" w:rsidR="00932CDB" w:rsidRPr="00932CDB" w:rsidRDefault="00932CDB" w:rsidP="00932CD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3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- «Правил проведення обов'язкових профілактичних медичних оглядів працівників окремих професій, виробництв та організацій, діяльність яких пов'язана з обслуговуванням населення і може призвести до поширення інфекційних хвороб», затверджених Наказом Міністерства охорони здоров'я України від 23.07.2002  № 280 (у редакції наказу Міністерства охорони здоров’я України 21.02.2013 № 150) «Щодо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хвороб», зареєстрованих в Міністерстві юстиції України 8 серпня 2002 р. за                   № 639/6927;</w:t>
      </w:r>
    </w:p>
    <w:p w14:paraId="1389C12E" w14:textId="6E23A828" w:rsidR="00932CDB" w:rsidRPr="003D096B" w:rsidRDefault="00932CDB" w:rsidP="003D096B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932C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Виконавець надає послуги щодо проведення періодичного обов’язкового профілактичного медичного огляду працівників закладів освіти Нововолинської міської територіальної громади належної якості з дотриманням норм законодавства, які </w:t>
      </w:r>
      <w:r w:rsidRPr="0069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регламентують діяльність в даній сфері,  підтверджує якість документами, які регламентують даний вид послуг  відповідно до чинного законодавства України. </w:t>
      </w:r>
      <w:r w:rsidRPr="0069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Перелік закладів охорони здоров'я, які за </w:t>
      </w:r>
      <w:proofErr w:type="spellStart"/>
      <w:r w:rsidRPr="0069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заявницьким</w:t>
      </w:r>
      <w:proofErr w:type="spellEnd"/>
      <w:r w:rsidRPr="0069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принципом мають право проводити обов'язкові профілактичні медичні огляди, затверджується відповідно наказом Міністерства охорони здоров'я України, структурних підрозділів з питань охорони здоров'я</w:t>
      </w:r>
      <w:r w:rsidR="005E4251" w:rsidRPr="0069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69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Волинської обласної державної адміністрації</w:t>
      </w:r>
      <w:r w:rsidRPr="0069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.</w:t>
      </w:r>
    </w:p>
    <w:p w14:paraId="2C724BF0" w14:textId="41FA83E3" w:rsidR="00932CDB" w:rsidRPr="00466447" w:rsidRDefault="00932CDB" w:rsidP="00932CD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zh-CN" w:bidi="hi-IN"/>
        </w:rPr>
      </w:pPr>
      <w:r w:rsidRPr="00690D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Послуги </w:t>
      </w:r>
      <w:r w:rsidRPr="0093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повинні бути виконані на території Замовника у Нововолинськ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ій</w:t>
      </w:r>
      <w:r w:rsidRPr="0093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міськ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ій </w:t>
      </w:r>
      <w:r w:rsidRPr="0093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територіальн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ій</w:t>
      </w:r>
      <w:r w:rsidRPr="0093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 громад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і</w:t>
      </w:r>
      <w:r w:rsidRPr="0093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>, оскільки о</w:t>
      </w:r>
      <w:r w:rsidRPr="00932C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бов'язкові медичні огляди проводяться в лікувально-профілактичних закладах за місцем </w:t>
      </w:r>
      <w:r w:rsidRPr="00690D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проживання або за місцем роботи (період медичного огляду:  </w:t>
      </w:r>
      <w:r w:rsidRPr="004664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 w:bidi="hi-IN"/>
        </w:rPr>
        <w:t>до 3</w:t>
      </w:r>
      <w:r w:rsidR="009D1E1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 w:bidi="hi-IN"/>
        </w:rPr>
        <w:t>0</w:t>
      </w:r>
      <w:r w:rsidRPr="004664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 w:bidi="hi-IN"/>
        </w:rPr>
        <w:t xml:space="preserve"> </w:t>
      </w:r>
      <w:r w:rsidR="00BC245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 w:bidi="hi-IN"/>
        </w:rPr>
        <w:t>квітня</w:t>
      </w:r>
      <w:r w:rsidRPr="004664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 w:bidi="hi-IN"/>
        </w:rPr>
        <w:t xml:space="preserve"> 202</w:t>
      </w:r>
      <w:r w:rsidR="00BC245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 w:bidi="hi-IN"/>
        </w:rPr>
        <w:t>4</w:t>
      </w:r>
      <w:r w:rsidRPr="004664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 w:bidi="hi-IN"/>
        </w:rPr>
        <w:t xml:space="preserve"> року</w:t>
      </w:r>
      <w:r w:rsidR="00F204D3" w:rsidRPr="004664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 w:bidi="hi-IN"/>
        </w:rPr>
        <w:t xml:space="preserve">, при цьому </w:t>
      </w:r>
      <w:r w:rsidR="00466447" w:rsidRPr="004664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 w:bidi="hi-IN"/>
        </w:rPr>
        <w:t>тривалість попереднього (періодичного) медичного огляду одного працівника не повинне перевищувати 1 (один) робочий день</w:t>
      </w:r>
      <w:r w:rsidRPr="0046644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zh-CN" w:bidi="hi-IN"/>
        </w:rPr>
        <w:t>).</w:t>
      </w:r>
    </w:p>
    <w:p w14:paraId="37D81233" w14:textId="77777777" w:rsidR="00932CDB" w:rsidRPr="00932CDB" w:rsidRDefault="00932CDB" w:rsidP="00932CD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690D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 w:bidi="hi-IN"/>
        </w:rPr>
        <w:t xml:space="preserve">При наданні послуг використовувати </w:t>
      </w:r>
      <w:r w:rsidRPr="00932C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  <w:t xml:space="preserve">дозволені до застосування на території України  препарати (засоби), придбані за рахунок Виконавця. </w:t>
      </w:r>
    </w:p>
    <w:p w14:paraId="773F0A76" w14:textId="73A4C51E" w:rsidR="00932CDB" w:rsidRPr="00932CDB" w:rsidRDefault="00932CDB" w:rsidP="00932CD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 w:bidi="hi-IN"/>
        </w:rPr>
      </w:pPr>
      <w:r w:rsidRPr="00932C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Запропоновані </w:t>
      </w: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Учасником</w:t>
      </w:r>
      <w:r w:rsidRPr="00932C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послуги повинні відповідати діяльності, яка визначена у Статуті.</w:t>
      </w:r>
    </w:p>
    <w:p w14:paraId="48814C33" w14:textId="77777777" w:rsidR="00932CDB" w:rsidRPr="00932CDB" w:rsidRDefault="00932CDB" w:rsidP="00932CDB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32C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Проведення медичного огляду працівників включає в себе огляд спеціалістами, лабораторні та функціональні дослідження з оформленням таких документів:</w:t>
      </w:r>
    </w:p>
    <w:p w14:paraId="235519C5" w14:textId="77777777" w:rsidR="00932CDB" w:rsidRPr="00932CDB" w:rsidRDefault="00932CDB" w:rsidP="00932C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32C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-план –графік проведення періодичних оглядів працівників з додатком (список працівників затверджені Замовником для Виконавця) із зазначенням  строків проведення медоглядів, </w:t>
      </w:r>
      <w:r w:rsidRPr="00932C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lastRenderedPageBreak/>
        <w:t>лабораторних, функціональних та інших досліджень та лікарів, залучених до їх проведення;</w:t>
      </w:r>
    </w:p>
    <w:p w14:paraId="12CA5ADC" w14:textId="77777777" w:rsidR="00932CDB" w:rsidRPr="00932CDB" w:rsidRDefault="00932CDB" w:rsidP="00932C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32C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 картка працівника, який підлягає (періодичному) медичному огляду, за формою згідно додатку 7 Наказу МОЗ № 280 з занесеними в неї результатами періодичного медичного огляду з висновком про стан здоров’я;</w:t>
      </w:r>
    </w:p>
    <w:p w14:paraId="780C578D" w14:textId="77777777" w:rsidR="00932CDB" w:rsidRPr="00932CDB" w:rsidRDefault="00932CDB" w:rsidP="005E42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32C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- заключний акт за результатами періодичного медичного огляду працівників за формою згідно додатку 9 Наказу МОЗ № 280.</w:t>
      </w:r>
    </w:p>
    <w:p w14:paraId="0C87ADD1" w14:textId="77777777" w:rsidR="00932CDB" w:rsidRPr="00932CDB" w:rsidRDefault="00932CDB" w:rsidP="005E42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2C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- </w:t>
      </w:r>
      <w:r w:rsidRPr="00932C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після закінчення медогляду (у разі відсутності протипоказань для зайняття відповідним видом діяльності) заклад охорони здоров'я видає працівнику наступні документи:  </w:t>
      </w:r>
    </w:p>
    <w:p w14:paraId="19344EC7" w14:textId="77777777" w:rsidR="00932CDB" w:rsidRPr="003D096B" w:rsidRDefault="00932CDB" w:rsidP="005E42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bookmarkStart w:id="7" w:name="_Hlk162440774"/>
      <w:r w:rsidRPr="003D096B">
        <w:rPr>
          <w:rFonts w:ascii="Times New Roman" w:eastAsia="Times New Roman" w:hAnsi="Times New Roman" w:cs="Times New Roman"/>
          <w:sz w:val="24"/>
          <w:szCs w:val="24"/>
          <w:lang w:eastAsia="ar-SA"/>
        </w:rPr>
        <w:t>А) «Особиста медична книжка» за формою № 1-ОМК (далі – форма № 1-ОМК), затверджену наказом Міністерства охорони здоров’я України від 21 лютого 2013 року                    № 150</w:t>
      </w:r>
      <w:r w:rsidRPr="003D096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, яка повинна відповідати технічному опису бланка згідно Наказу МОЗ від 08.07.2013 року № 583.</w:t>
      </w:r>
    </w:p>
    <w:p w14:paraId="3A08A85E" w14:textId="58D7837B" w:rsidR="005E4251" w:rsidRPr="00690DC0" w:rsidRDefault="00932CDB" w:rsidP="00690D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3D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Б)</w:t>
      </w:r>
      <w:r w:rsidR="00690DC0" w:rsidRPr="003D09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 xml:space="preserve"> «Довідка </w:t>
      </w:r>
      <w:r w:rsidR="00690DC0" w:rsidRPr="003D096B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 проходження попереднього, періодичного та позачергового психіатричних оглядів, у тому числі на предмет вживання психоактивних речовин</w:t>
      </w:r>
      <w:r w:rsidR="00690DC0" w:rsidRPr="003D096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90DC0" w:rsidRPr="003D096B">
        <w:rPr>
          <w:rStyle w:val="rvts15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(Форма первинної облікової документації № 100-2/о</w:t>
      </w:r>
      <w:r w:rsidR="00690DC0" w:rsidRPr="003D096B">
        <w:rPr>
          <w:rStyle w:val="rvts15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)</w:t>
      </w:r>
      <w:r w:rsidR="003D096B" w:rsidRPr="003D096B">
        <w:rPr>
          <w:rStyle w:val="rvts15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3D096B" w:rsidRPr="00376D8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затверджену наказом Міністерства охорони здоров'я України від 18 квітня 2022 року № 651</w:t>
      </w:r>
      <w:r w:rsidR="00690DC0" w:rsidRPr="00376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 w:bidi="hi-IN"/>
        </w:rPr>
        <w:t>.</w:t>
      </w:r>
      <w:bookmarkStart w:id="8" w:name="_GoBack"/>
      <w:bookmarkEnd w:id="8"/>
    </w:p>
    <w:bookmarkEnd w:id="7"/>
    <w:p w14:paraId="6C4C846C" w14:textId="1EFC8E64" w:rsidR="005E4251" w:rsidRPr="00932CDB" w:rsidRDefault="005E4251" w:rsidP="005E42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5. </w:t>
      </w:r>
      <w:r w:rsidRPr="005E425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Огляд проводиться лікарем-психіатром, який пройшов тематичне удосконалення за відповідною програмою згідно вимог </w:t>
      </w:r>
      <w:bookmarkStart w:id="9" w:name="_Hlk162440745"/>
      <w:r w:rsidRPr="005E425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затверджених наказом Міністерства охорони здоров'я України від 18 квітня 2022 року № 651</w:t>
      </w:r>
      <w:bookmarkEnd w:id="9"/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, про що надати підтвердження.</w:t>
      </w:r>
    </w:p>
    <w:p w14:paraId="729475E0" w14:textId="59EF4A73" w:rsidR="005E4251" w:rsidRPr="005E4251" w:rsidRDefault="005E4251" w:rsidP="005E42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6. </w:t>
      </w:r>
      <w:r w:rsidRPr="005E4251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Поводження з медичними відходами проводиться відповідно до Державних санітарно-протиепідемічних правил і норм щодо поводження з медичними відходами, затверджених наказом Міністерства охорони здоров'я України від 08 червня 2015 року № 325 (у редакції наказу Міністерства охорони здоров'я України від 06 вересня 2022 року № 1602)</w:t>
      </w:r>
      <w:r w:rsidR="00690DC0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.</w:t>
      </w:r>
    </w:p>
    <w:p w14:paraId="7C863265" w14:textId="4C07F97D" w:rsidR="00932CDB" w:rsidRDefault="005E4251" w:rsidP="005E425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7</w:t>
      </w:r>
      <w:r w:rsidR="00932CDB" w:rsidRPr="00932CDB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. На підставі результатів обстеження кожний лікар-спеціаліст робить висновок щодо можливості допущення працівника закладу освіти до роботи. </w:t>
      </w:r>
    </w:p>
    <w:p w14:paraId="6607F85C" w14:textId="77777777" w:rsidR="00932CDB" w:rsidRPr="003D096B" w:rsidRDefault="00932CDB" w:rsidP="003D09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 w:bidi="hi-IN"/>
        </w:rPr>
      </w:pPr>
    </w:p>
    <w:p w14:paraId="0850ADC0" w14:textId="74C390A4" w:rsidR="00932CDB" w:rsidRDefault="00932CDB" w:rsidP="00932C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932CDB">
        <w:rPr>
          <w:rFonts w:ascii="Times New Roman" w:hAnsi="Times New Roman" w:cs="Times New Roman"/>
          <w:bCs/>
          <w:sz w:val="24"/>
          <w:szCs w:val="24"/>
          <w:lang w:eastAsia="en-US"/>
        </w:rPr>
        <w:t>Таблиця № 01</w:t>
      </w:r>
    </w:p>
    <w:p w14:paraId="0D90E116" w14:textId="77777777" w:rsidR="005E4251" w:rsidRDefault="005E4251" w:rsidP="00932C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tbl>
      <w:tblPr>
        <w:tblStyle w:val="40"/>
        <w:tblW w:w="9634" w:type="dxa"/>
        <w:tblLook w:val="04A0" w:firstRow="1" w:lastRow="0" w:firstColumn="1" w:lastColumn="0" w:noHBand="0" w:noVBand="1"/>
      </w:tblPr>
      <w:tblGrid>
        <w:gridCol w:w="704"/>
        <w:gridCol w:w="7753"/>
        <w:gridCol w:w="1177"/>
      </w:tblGrid>
      <w:tr w:rsidR="005E4251" w:rsidRPr="00B009A3" w14:paraId="7CF90A42" w14:textId="77777777" w:rsidTr="003A4DE8">
        <w:tc>
          <w:tcPr>
            <w:tcW w:w="704" w:type="dxa"/>
            <w:vAlign w:val="center"/>
          </w:tcPr>
          <w:p w14:paraId="7A1AEB2E" w14:textId="77777777" w:rsidR="005E4251" w:rsidRPr="00B009A3" w:rsidRDefault="005E4251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14:paraId="75BD5033" w14:textId="77777777" w:rsidR="005E4251" w:rsidRPr="00B009A3" w:rsidRDefault="005E4251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7753" w:type="dxa"/>
            <w:vAlign w:val="center"/>
          </w:tcPr>
          <w:p w14:paraId="7ABAA48B" w14:textId="77777777" w:rsidR="005E4251" w:rsidRPr="00B009A3" w:rsidRDefault="005E4251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Найменування послуги</w:t>
            </w:r>
          </w:p>
        </w:tc>
        <w:tc>
          <w:tcPr>
            <w:tcW w:w="1177" w:type="dxa"/>
            <w:vAlign w:val="center"/>
          </w:tcPr>
          <w:p w14:paraId="6547579D" w14:textId="77777777" w:rsidR="005E4251" w:rsidRPr="00B009A3" w:rsidRDefault="005E4251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Кількість послуг</w:t>
            </w:r>
          </w:p>
        </w:tc>
      </w:tr>
      <w:tr w:rsidR="005E4251" w:rsidRPr="00B009A3" w14:paraId="16224B13" w14:textId="77777777" w:rsidTr="003A4DE8">
        <w:tc>
          <w:tcPr>
            <w:tcW w:w="704" w:type="dxa"/>
          </w:tcPr>
          <w:p w14:paraId="790B7937" w14:textId="77777777" w:rsidR="005E4251" w:rsidRPr="00B009A3" w:rsidRDefault="005E4251" w:rsidP="003A4DE8">
            <w:pPr>
              <w:numPr>
                <w:ilvl w:val="0"/>
                <w:numId w:val="6"/>
              </w:numPr>
              <w:spacing w:line="276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3" w:type="dxa"/>
          </w:tcPr>
          <w:p w14:paraId="48361AE8" w14:textId="1DF3EA38" w:rsidR="005E4251" w:rsidRPr="00B009A3" w:rsidRDefault="008E720A" w:rsidP="007677F7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 крові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8E72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77" w:type="dxa"/>
          </w:tcPr>
          <w:p w14:paraId="5EB30DB9" w14:textId="13AE6175" w:rsidR="005E4251" w:rsidRPr="005305C7" w:rsidRDefault="00BC2458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355</w:t>
            </w:r>
          </w:p>
        </w:tc>
      </w:tr>
      <w:tr w:rsidR="005E4251" w:rsidRPr="00B009A3" w14:paraId="504248B2" w14:textId="77777777" w:rsidTr="003A4DE8">
        <w:tc>
          <w:tcPr>
            <w:tcW w:w="704" w:type="dxa"/>
          </w:tcPr>
          <w:p w14:paraId="3CA6DBB7" w14:textId="77777777" w:rsidR="005E4251" w:rsidRPr="00B009A3" w:rsidRDefault="005E4251" w:rsidP="003A4DE8">
            <w:pPr>
              <w:numPr>
                <w:ilvl w:val="0"/>
                <w:numId w:val="6"/>
              </w:numPr>
              <w:spacing w:line="276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3" w:type="dxa"/>
          </w:tcPr>
          <w:p w14:paraId="6847BDB7" w14:textId="77777777" w:rsidR="005E4251" w:rsidRPr="00B009A3" w:rsidRDefault="005E4251" w:rsidP="003A4D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</w:rPr>
              <w:t>Мазок на гонорею</w:t>
            </w:r>
          </w:p>
        </w:tc>
        <w:tc>
          <w:tcPr>
            <w:tcW w:w="1177" w:type="dxa"/>
          </w:tcPr>
          <w:p w14:paraId="23460533" w14:textId="0A860014" w:rsidR="005E4251" w:rsidRPr="00690DC0" w:rsidRDefault="00BC2458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355</w:t>
            </w:r>
          </w:p>
        </w:tc>
      </w:tr>
      <w:tr w:rsidR="005E4251" w:rsidRPr="00B009A3" w14:paraId="713B0C99" w14:textId="77777777" w:rsidTr="003A4DE8">
        <w:tc>
          <w:tcPr>
            <w:tcW w:w="704" w:type="dxa"/>
          </w:tcPr>
          <w:p w14:paraId="19EBC655" w14:textId="77777777" w:rsidR="005E4251" w:rsidRPr="00B009A3" w:rsidRDefault="005E4251" w:rsidP="003A4DE8">
            <w:pPr>
              <w:numPr>
                <w:ilvl w:val="0"/>
                <w:numId w:val="6"/>
              </w:numPr>
              <w:spacing w:line="276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3" w:type="dxa"/>
          </w:tcPr>
          <w:p w14:paraId="0524736A" w14:textId="77777777" w:rsidR="005E4251" w:rsidRPr="00B009A3" w:rsidRDefault="005E4251" w:rsidP="003A4D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</w:rPr>
              <w:t>Дослідження на гельмінтози</w:t>
            </w:r>
          </w:p>
        </w:tc>
        <w:tc>
          <w:tcPr>
            <w:tcW w:w="1177" w:type="dxa"/>
          </w:tcPr>
          <w:p w14:paraId="626C5663" w14:textId="48DE9D31" w:rsidR="005E4251" w:rsidRPr="00690DC0" w:rsidRDefault="00BC2458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</w:tr>
      <w:tr w:rsidR="005E4251" w:rsidRPr="00B009A3" w14:paraId="4A5E8FE4" w14:textId="77777777" w:rsidTr="003A4DE8">
        <w:tc>
          <w:tcPr>
            <w:tcW w:w="704" w:type="dxa"/>
          </w:tcPr>
          <w:p w14:paraId="015F345C" w14:textId="77777777" w:rsidR="005E4251" w:rsidRPr="00B009A3" w:rsidRDefault="005E4251" w:rsidP="003A4DE8">
            <w:pPr>
              <w:numPr>
                <w:ilvl w:val="0"/>
                <w:numId w:val="6"/>
              </w:numPr>
              <w:spacing w:line="276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3" w:type="dxa"/>
          </w:tcPr>
          <w:p w14:paraId="3C685AC1" w14:textId="77777777" w:rsidR="005E4251" w:rsidRPr="00B009A3" w:rsidRDefault="005E4251" w:rsidP="003A4D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</w:rPr>
              <w:t>Дослідження на носійство кишкових інфекцій</w:t>
            </w:r>
          </w:p>
        </w:tc>
        <w:tc>
          <w:tcPr>
            <w:tcW w:w="1177" w:type="dxa"/>
          </w:tcPr>
          <w:p w14:paraId="0A6E73D6" w14:textId="38EA6CA3" w:rsidR="005E4251" w:rsidRPr="00690DC0" w:rsidRDefault="00BC2458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</w:tr>
      <w:tr w:rsidR="005E4251" w:rsidRPr="00B009A3" w14:paraId="09B88980" w14:textId="77777777" w:rsidTr="003A4DE8">
        <w:tc>
          <w:tcPr>
            <w:tcW w:w="704" w:type="dxa"/>
          </w:tcPr>
          <w:p w14:paraId="28C2EBAE" w14:textId="77777777" w:rsidR="005E4251" w:rsidRPr="00B009A3" w:rsidRDefault="005E4251" w:rsidP="003A4DE8">
            <w:pPr>
              <w:numPr>
                <w:ilvl w:val="0"/>
                <w:numId w:val="6"/>
              </w:numPr>
              <w:spacing w:line="276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3" w:type="dxa"/>
          </w:tcPr>
          <w:p w14:paraId="58D8417C" w14:textId="77777777" w:rsidR="005E4251" w:rsidRPr="00B009A3" w:rsidRDefault="005E4251" w:rsidP="003A4D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</w:rPr>
              <w:t>Огляд терапевта</w:t>
            </w:r>
          </w:p>
        </w:tc>
        <w:tc>
          <w:tcPr>
            <w:tcW w:w="1177" w:type="dxa"/>
          </w:tcPr>
          <w:p w14:paraId="7B5512A0" w14:textId="6C2E74B7" w:rsidR="005E4251" w:rsidRPr="005305C7" w:rsidRDefault="00BC2458" w:rsidP="007677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388</w:t>
            </w:r>
          </w:p>
        </w:tc>
      </w:tr>
      <w:tr w:rsidR="005E4251" w:rsidRPr="00B009A3" w14:paraId="2B102FBD" w14:textId="77777777" w:rsidTr="003A4DE8">
        <w:tc>
          <w:tcPr>
            <w:tcW w:w="704" w:type="dxa"/>
          </w:tcPr>
          <w:p w14:paraId="077FB345" w14:textId="77777777" w:rsidR="005E4251" w:rsidRPr="00B009A3" w:rsidRDefault="005E4251" w:rsidP="003A4DE8">
            <w:pPr>
              <w:numPr>
                <w:ilvl w:val="0"/>
                <w:numId w:val="6"/>
              </w:numPr>
              <w:spacing w:line="276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3" w:type="dxa"/>
          </w:tcPr>
          <w:p w14:paraId="490D0148" w14:textId="77777777" w:rsidR="005E4251" w:rsidRPr="00B009A3" w:rsidRDefault="005E4251" w:rsidP="003A4D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</w:rPr>
              <w:t>Огляд отоларинголога</w:t>
            </w:r>
          </w:p>
        </w:tc>
        <w:tc>
          <w:tcPr>
            <w:tcW w:w="1177" w:type="dxa"/>
          </w:tcPr>
          <w:p w14:paraId="12F70F3C" w14:textId="765915D3" w:rsidR="005E4251" w:rsidRPr="00690DC0" w:rsidRDefault="00BC2458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</w:tr>
      <w:tr w:rsidR="005E4251" w:rsidRPr="00B009A3" w14:paraId="78FACD4D" w14:textId="77777777" w:rsidTr="003A4DE8">
        <w:tc>
          <w:tcPr>
            <w:tcW w:w="704" w:type="dxa"/>
          </w:tcPr>
          <w:p w14:paraId="27042F51" w14:textId="77777777" w:rsidR="005E4251" w:rsidRPr="00B009A3" w:rsidRDefault="005E4251" w:rsidP="003A4DE8">
            <w:pPr>
              <w:numPr>
                <w:ilvl w:val="0"/>
                <w:numId w:val="6"/>
              </w:numPr>
              <w:spacing w:line="276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3" w:type="dxa"/>
          </w:tcPr>
          <w:p w14:paraId="6697FF1B" w14:textId="77777777" w:rsidR="005E4251" w:rsidRPr="00B009A3" w:rsidRDefault="005E4251" w:rsidP="003A4D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</w:rPr>
              <w:t>Огляд дерматовенеролога</w:t>
            </w:r>
          </w:p>
        </w:tc>
        <w:tc>
          <w:tcPr>
            <w:tcW w:w="1177" w:type="dxa"/>
          </w:tcPr>
          <w:p w14:paraId="70228FFD" w14:textId="6A19064E" w:rsidR="005E4251" w:rsidRPr="00690DC0" w:rsidRDefault="00BC2458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388</w:t>
            </w:r>
          </w:p>
        </w:tc>
      </w:tr>
      <w:tr w:rsidR="005E4251" w:rsidRPr="00B009A3" w14:paraId="76F8A479" w14:textId="77777777" w:rsidTr="003A4DE8">
        <w:tc>
          <w:tcPr>
            <w:tcW w:w="704" w:type="dxa"/>
          </w:tcPr>
          <w:p w14:paraId="15B51FCD" w14:textId="77777777" w:rsidR="005E4251" w:rsidRPr="00B009A3" w:rsidRDefault="005E4251" w:rsidP="003A4DE8">
            <w:pPr>
              <w:numPr>
                <w:ilvl w:val="0"/>
                <w:numId w:val="6"/>
              </w:numPr>
              <w:spacing w:line="276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3" w:type="dxa"/>
          </w:tcPr>
          <w:p w14:paraId="6091A6DB" w14:textId="77777777" w:rsidR="005E4251" w:rsidRPr="00B009A3" w:rsidRDefault="005E4251" w:rsidP="003A4DE8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</w:rPr>
              <w:t>Флюорографія (Рентгенографія ОГК)</w:t>
            </w:r>
          </w:p>
        </w:tc>
        <w:tc>
          <w:tcPr>
            <w:tcW w:w="1177" w:type="dxa"/>
          </w:tcPr>
          <w:p w14:paraId="4EBAFFEA" w14:textId="6064D88C" w:rsidR="005E4251" w:rsidRPr="00690DC0" w:rsidRDefault="00BC2458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388</w:t>
            </w:r>
          </w:p>
        </w:tc>
      </w:tr>
      <w:tr w:rsidR="00BC2458" w:rsidRPr="00B009A3" w14:paraId="5C1BE055" w14:textId="77777777" w:rsidTr="003A4DE8">
        <w:tc>
          <w:tcPr>
            <w:tcW w:w="704" w:type="dxa"/>
          </w:tcPr>
          <w:p w14:paraId="2AAED80F" w14:textId="77777777" w:rsidR="00BC2458" w:rsidRPr="00B009A3" w:rsidRDefault="00BC2458" w:rsidP="003A4DE8">
            <w:pPr>
              <w:numPr>
                <w:ilvl w:val="0"/>
                <w:numId w:val="6"/>
              </w:numPr>
              <w:spacing w:line="276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3" w:type="dxa"/>
          </w:tcPr>
          <w:p w14:paraId="10A37186" w14:textId="579D97A0" w:rsidR="00BC2458" w:rsidRPr="00B009A3" w:rsidRDefault="00BC2458" w:rsidP="003A4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Огляд стоматолога</w:t>
            </w:r>
          </w:p>
        </w:tc>
        <w:tc>
          <w:tcPr>
            <w:tcW w:w="1177" w:type="dxa"/>
          </w:tcPr>
          <w:p w14:paraId="6946CC63" w14:textId="3D097529" w:rsidR="00BC2458" w:rsidRDefault="00BC2458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</w:tr>
      <w:tr w:rsidR="00BC2458" w:rsidRPr="00B009A3" w14:paraId="253CEB32" w14:textId="77777777" w:rsidTr="003A4DE8">
        <w:tc>
          <w:tcPr>
            <w:tcW w:w="704" w:type="dxa"/>
          </w:tcPr>
          <w:p w14:paraId="03C847A9" w14:textId="2B56EC90" w:rsidR="00BC2458" w:rsidRPr="00B009A3" w:rsidRDefault="00BC2458" w:rsidP="003A4DE8">
            <w:pPr>
              <w:numPr>
                <w:ilvl w:val="0"/>
                <w:numId w:val="6"/>
              </w:numPr>
              <w:spacing w:line="276" w:lineRule="auto"/>
              <w:ind w:left="-120" w:firstLine="12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3" w:type="dxa"/>
          </w:tcPr>
          <w:p w14:paraId="3571C8CE" w14:textId="384BA674" w:rsidR="00BC2458" w:rsidRDefault="00BC2458" w:rsidP="003A4D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Огляд психіатра з видачою довідки</w:t>
            </w:r>
          </w:p>
        </w:tc>
        <w:tc>
          <w:tcPr>
            <w:tcW w:w="1177" w:type="dxa"/>
          </w:tcPr>
          <w:p w14:paraId="69315954" w14:textId="58509A73" w:rsidR="00BC2458" w:rsidRDefault="00BC2458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82</w:t>
            </w:r>
          </w:p>
        </w:tc>
      </w:tr>
      <w:tr w:rsidR="005E4251" w:rsidRPr="00B009A3" w14:paraId="13B07D4C" w14:textId="77777777" w:rsidTr="003A4DE8">
        <w:tc>
          <w:tcPr>
            <w:tcW w:w="704" w:type="dxa"/>
          </w:tcPr>
          <w:p w14:paraId="3BCAA873" w14:textId="77777777" w:rsidR="005E4251" w:rsidRPr="00B009A3" w:rsidRDefault="005E4251" w:rsidP="003A4DE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3" w:type="dxa"/>
            <w:vAlign w:val="center"/>
          </w:tcPr>
          <w:p w14:paraId="68AD0C3B" w14:textId="77777777" w:rsidR="005E4251" w:rsidRPr="00B009A3" w:rsidRDefault="005E4251" w:rsidP="003A4D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009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Всього:</w:t>
            </w:r>
          </w:p>
        </w:tc>
        <w:tc>
          <w:tcPr>
            <w:tcW w:w="1177" w:type="dxa"/>
            <w:vAlign w:val="center"/>
          </w:tcPr>
          <w:p w14:paraId="51BB2613" w14:textId="7FE3DF45" w:rsidR="005E4251" w:rsidRPr="005305C7" w:rsidRDefault="00BC2458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2235</w:t>
            </w:r>
          </w:p>
        </w:tc>
      </w:tr>
      <w:tr w:rsidR="007677F7" w:rsidRPr="00B009A3" w14:paraId="2BBCBA8F" w14:textId="77777777" w:rsidTr="003A4DE8">
        <w:tc>
          <w:tcPr>
            <w:tcW w:w="704" w:type="dxa"/>
          </w:tcPr>
          <w:p w14:paraId="76E87901" w14:textId="77777777" w:rsidR="007677F7" w:rsidRPr="00B009A3" w:rsidRDefault="007677F7" w:rsidP="003A4DE8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753" w:type="dxa"/>
            <w:vAlign w:val="center"/>
          </w:tcPr>
          <w:p w14:paraId="4F7710A0" w14:textId="77777777" w:rsidR="007677F7" w:rsidRPr="00B009A3" w:rsidRDefault="007677F7" w:rsidP="003A4DE8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77" w:type="dxa"/>
            <w:vAlign w:val="center"/>
          </w:tcPr>
          <w:p w14:paraId="25C5AE4E" w14:textId="77777777" w:rsidR="007677F7" w:rsidRPr="00690DC0" w:rsidRDefault="007677F7" w:rsidP="003A4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</w:tr>
    </w:tbl>
    <w:p w14:paraId="3883C69E" w14:textId="77777777" w:rsidR="00450434" w:rsidRDefault="00450434" w:rsidP="00932C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bookmarkEnd w:id="0"/>
    <w:p w14:paraId="761184D3" w14:textId="0B5950F3" w:rsidR="00965AC1" w:rsidRDefault="0072536A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F60">
        <w:rPr>
          <w:rFonts w:ascii="Times New Roman" w:eastAsia="Times New Roman" w:hAnsi="Times New Roman" w:cs="Times New Roman"/>
          <w:b/>
          <w:sz w:val="24"/>
          <w:szCs w:val="24"/>
        </w:rPr>
        <w:t xml:space="preserve">Фактом подання тендерної пропозиції учасник підтверджує відповідність своєї пропозиції технічним, якісним, кількісним, функціональним характеристикам до предмета закупівлі, у тому числі технічній специфікації (у разі потреби — планам, кресленням, малюнкам чи опису предмета закупівлі) та іншим вимогам до предмета закупівлі, що містяться в  тендерній документації та цьому додатку, а також підтверджує можливість </w:t>
      </w:r>
      <w:r w:rsidR="00932C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</w:t>
      </w:r>
      <w:r w:rsidR="000B3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дання послуг</w:t>
      </w:r>
      <w:r w:rsidRPr="00256F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56F60">
        <w:rPr>
          <w:rFonts w:ascii="Times New Roman" w:eastAsia="Times New Roman" w:hAnsi="Times New Roman" w:cs="Times New Roman"/>
          <w:b/>
          <w:sz w:val="24"/>
          <w:szCs w:val="24"/>
        </w:rPr>
        <w:t>відповідно до вимог, визначених згідно з умовами тендерної документації.</w:t>
      </w:r>
    </w:p>
    <w:p w14:paraId="5A5B17C9" w14:textId="56574CA1" w:rsidR="00AE610E" w:rsidRPr="003D096B" w:rsidRDefault="00822ABB" w:rsidP="003D096B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4"/>
          <w:szCs w:val="4"/>
        </w:rPr>
      </w:pPr>
      <w:r w:rsidRPr="00822ABB">
        <w:rPr>
          <w:rFonts w:ascii="Times New Roman" w:eastAsia="Times New Roman" w:hAnsi="Times New Roman" w:cs="Times New Roman"/>
          <w:sz w:val="24"/>
          <w:szCs w:val="4"/>
        </w:rPr>
        <w:t>У місцях, де технічна</w:t>
      </w:r>
      <w:r>
        <w:rPr>
          <w:rFonts w:ascii="Times New Roman" w:eastAsia="Times New Roman" w:hAnsi="Times New Roman" w:cs="Times New Roman"/>
          <w:sz w:val="24"/>
          <w:szCs w:val="4"/>
        </w:rPr>
        <w:t xml:space="preserve"> </w:t>
      </w:r>
      <w:r w:rsidRPr="00822ABB">
        <w:rPr>
          <w:rFonts w:ascii="Times New Roman" w:eastAsia="Times New Roman" w:hAnsi="Times New Roman" w:cs="Times New Roman"/>
          <w:sz w:val="24"/>
          <w:szCs w:val="4"/>
        </w:rPr>
        <w:t>специфікація містить посилання на конкретні марку чи виробника</w:t>
      </w:r>
      <w:r>
        <w:rPr>
          <w:rFonts w:ascii="Times New Roman" w:eastAsia="Times New Roman" w:hAnsi="Times New Roman" w:cs="Times New Roman"/>
          <w:sz w:val="24"/>
          <w:szCs w:val="4"/>
        </w:rPr>
        <w:t>, назву товару</w:t>
      </w:r>
      <w:r w:rsidRPr="00822ABB">
        <w:rPr>
          <w:rFonts w:ascii="Times New Roman" w:eastAsia="Times New Roman" w:hAnsi="Times New Roman" w:cs="Times New Roman"/>
          <w:sz w:val="24"/>
          <w:szCs w:val="4"/>
        </w:rPr>
        <w:t xml:space="preserve"> або на конкретний</w:t>
      </w:r>
      <w:r>
        <w:rPr>
          <w:rFonts w:ascii="Times New Roman" w:eastAsia="Times New Roman" w:hAnsi="Times New Roman" w:cs="Times New Roman"/>
          <w:sz w:val="24"/>
          <w:szCs w:val="4"/>
        </w:rPr>
        <w:t xml:space="preserve"> </w:t>
      </w:r>
      <w:r w:rsidRPr="00822ABB">
        <w:rPr>
          <w:rFonts w:ascii="Times New Roman" w:eastAsia="Times New Roman" w:hAnsi="Times New Roman" w:cs="Times New Roman"/>
          <w:sz w:val="24"/>
          <w:szCs w:val="4"/>
        </w:rPr>
        <w:t>процес, що характеризує продукт чи послугу певного суб’єкта господарювання, чи на</w:t>
      </w:r>
      <w:r>
        <w:rPr>
          <w:rFonts w:ascii="Times New Roman" w:eastAsia="Times New Roman" w:hAnsi="Times New Roman" w:cs="Times New Roman"/>
          <w:sz w:val="24"/>
          <w:szCs w:val="4"/>
        </w:rPr>
        <w:t xml:space="preserve"> </w:t>
      </w:r>
      <w:r w:rsidRPr="00822ABB">
        <w:rPr>
          <w:rFonts w:ascii="Times New Roman" w:eastAsia="Times New Roman" w:hAnsi="Times New Roman" w:cs="Times New Roman"/>
          <w:sz w:val="24"/>
          <w:szCs w:val="4"/>
        </w:rPr>
        <w:t>торгові марки, патенти, типи або конкретне місце походження чи спосіб виробництва,</w:t>
      </w:r>
      <w:r>
        <w:rPr>
          <w:rFonts w:ascii="Times New Roman" w:eastAsia="Times New Roman" w:hAnsi="Times New Roman" w:cs="Times New Roman"/>
          <w:sz w:val="24"/>
          <w:szCs w:val="4"/>
        </w:rPr>
        <w:t xml:space="preserve"> </w:t>
      </w:r>
      <w:r w:rsidRPr="00822ABB">
        <w:rPr>
          <w:rFonts w:ascii="Times New Roman" w:eastAsia="Times New Roman" w:hAnsi="Times New Roman" w:cs="Times New Roman"/>
          <w:sz w:val="24"/>
          <w:szCs w:val="4"/>
        </w:rPr>
        <w:t>вважати вираз «або еквівалент».</w:t>
      </w:r>
    </w:p>
    <w:sectPr w:rsidR="00AE610E" w:rsidRPr="003D096B" w:rsidSect="0029653F">
      <w:pgSz w:w="11906" w:h="16838"/>
      <w:pgMar w:top="567" w:right="850" w:bottom="426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2E7"/>
    <w:multiLevelType w:val="multilevel"/>
    <w:tmpl w:val="193C6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D746F4"/>
    <w:multiLevelType w:val="hybridMultilevel"/>
    <w:tmpl w:val="D7A435CA"/>
    <w:lvl w:ilvl="0" w:tplc="075A48F6">
      <w:start w:val="1"/>
      <w:numFmt w:val="decimal"/>
      <w:lvlText w:val="%1."/>
      <w:lvlJc w:val="left"/>
      <w:pPr>
        <w:tabs>
          <w:tab w:val="num" w:pos="2607"/>
        </w:tabs>
        <w:ind w:left="2607" w:hanging="360"/>
      </w:pPr>
      <w:rPr>
        <w:sz w:val="20"/>
      </w:rPr>
    </w:lvl>
    <w:lvl w:ilvl="1" w:tplc="04220019">
      <w:start w:val="1"/>
      <w:numFmt w:val="lowerLetter"/>
      <w:lvlText w:val="%2."/>
      <w:lvlJc w:val="left"/>
      <w:pPr>
        <w:tabs>
          <w:tab w:val="num" w:pos="3185"/>
        </w:tabs>
        <w:ind w:left="318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3905"/>
        </w:tabs>
        <w:ind w:left="39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4625"/>
        </w:tabs>
        <w:ind w:left="46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5345"/>
        </w:tabs>
        <w:ind w:left="53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065"/>
        </w:tabs>
        <w:ind w:left="60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6785"/>
        </w:tabs>
        <w:ind w:left="67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7505"/>
        </w:tabs>
        <w:ind w:left="75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8225"/>
        </w:tabs>
        <w:ind w:left="8225" w:hanging="180"/>
      </w:pPr>
    </w:lvl>
  </w:abstractNum>
  <w:abstractNum w:abstractNumId="2" w15:restartNumberingAfterBreak="0">
    <w:nsid w:val="4DEA5389"/>
    <w:multiLevelType w:val="hybridMultilevel"/>
    <w:tmpl w:val="F80CB0F6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D3417"/>
    <w:multiLevelType w:val="hybridMultilevel"/>
    <w:tmpl w:val="AFB09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F4B61"/>
    <w:multiLevelType w:val="hybridMultilevel"/>
    <w:tmpl w:val="337EDE60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17ABB"/>
    <w:multiLevelType w:val="hybridMultilevel"/>
    <w:tmpl w:val="34EA6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AC1"/>
    <w:rsid w:val="00007821"/>
    <w:rsid w:val="00025CDC"/>
    <w:rsid w:val="000B36F4"/>
    <w:rsid w:val="000F1BEA"/>
    <w:rsid w:val="001A4CDD"/>
    <w:rsid w:val="001A7047"/>
    <w:rsid w:val="001F3907"/>
    <w:rsid w:val="00214C5C"/>
    <w:rsid w:val="00214FA1"/>
    <w:rsid w:val="0023780C"/>
    <w:rsid w:val="00256F60"/>
    <w:rsid w:val="0029653F"/>
    <w:rsid w:val="00376D80"/>
    <w:rsid w:val="003D096B"/>
    <w:rsid w:val="00450434"/>
    <w:rsid w:val="00466447"/>
    <w:rsid w:val="00467711"/>
    <w:rsid w:val="00476932"/>
    <w:rsid w:val="00484BB8"/>
    <w:rsid w:val="005305C7"/>
    <w:rsid w:val="005E4251"/>
    <w:rsid w:val="00690DC0"/>
    <w:rsid w:val="0072536A"/>
    <w:rsid w:val="007677F7"/>
    <w:rsid w:val="00822ABB"/>
    <w:rsid w:val="00824654"/>
    <w:rsid w:val="008E720A"/>
    <w:rsid w:val="00932CDB"/>
    <w:rsid w:val="0093579F"/>
    <w:rsid w:val="00965AC1"/>
    <w:rsid w:val="009935F2"/>
    <w:rsid w:val="009D1E1F"/>
    <w:rsid w:val="00AE5DA9"/>
    <w:rsid w:val="00AE610E"/>
    <w:rsid w:val="00B009A3"/>
    <w:rsid w:val="00BA6CC1"/>
    <w:rsid w:val="00BC2458"/>
    <w:rsid w:val="00BD261C"/>
    <w:rsid w:val="00C318F2"/>
    <w:rsid w:val="00C43D9B"/>
    <w:rsid w:val="00C672B1"/>
    <w:rsid w:val="00EC0052"/>
    <w:rsid w:val="00F14F41"/>
    <w:rsid w:val="00F204D3"/>
    <w:rsid w:val="00F55AF8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D2E611"/>
  <w15:docId w15:val="{D0CB47B3-D20A-4954-A6C4-78B0FEFC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Сетка таблицы2"/>
    <w:basedOn w:val="a1"/>
    <w:next w:val="a7"/>
    <w:uiPriority w:val="99"/>
    <w:rsid w:val="0025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7"/>
    <w:uiPriority w:val="99"/>
    <w:rsid w:val="0082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7"/>
    <w:uiPriority w:val="99"/>
    <w:rsid w:val="0021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39"/>
    <w:rsid w:val="00932CDB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0B36F4"/>
    <w:pPr>
      <w:ind w:left="720"/>
      <w:contextualSpacing/>
    </w:pPr>
  </w:style>
  <w:style w:type="table" w:customStyle="1" w:styleId="40">
    <w:name w:val="Сетка таблицы4"/>
    <w:basedOn w:val="a1"/>
    <w:next w:val="a7"/>
    <w:uiPriority w:val="39"/>
    <w:rsid w:val="0045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690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VQn2rFXf5fha+ZRYKXsj0qCJeZt0vnc1faBICFX8dd8+/mjmthPYDuuOhlD3/xmbN95ZbQ+4oiLfDFfjfdo3oq+Tyc4uQ+wUv3hQEA7Tc5RKrTXulAdXWH9USNUuJajm3TD60wEKLK7d0tJzpQKcmkLIxDgJ18QjU7QyJhau5jqZwglGWZh+IwMxZQBsSAnZB5L+w3L4/I14R8OThqdGrwmnWnCSs9l4arZOGAeChDV6qjmqrmQ90ob9u9jJ3YgFJ9RGdfUpC3UbzBAZttz+8xG/JFer6hcJItUvXTd0bpm7JrZolKC5UK6oeghgtGKXjldG4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4247</Words>
  <Characters>2421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Бобак В. С.</cp:lastModifiedBy>
  <cp:revision>3</cp:revision>
  <cp:lastPrinted>2023-12-08T10:18:00Z</cp:lastPrinted>
  <dcterms:created xsi:type="dcterms:W3CDTF">2024-03-27T12:17:00Z</dcterms:created>
  <dcterms:modified xsi:type="dcterms:W3CDTF">2024-03-27T12:31:00Z</dcterms:modified>
</cp:coreProperties>
</file>