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3FF785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hd w:val="clear" w:fill="FFFFFF"/>
        <w:spacing w:lineRule="auto" w:line="240" w:after="0" w:beforeAutospacing="0" w:afterAutospacing="0"/>
        <w:jc w:val="right"/>
        <w:rPr>
          <w:rFonts w:ascii="Times New Roman" w:hAnsi="Times New Roman"/>
          <w:b w:val="1"/>
          <w:i w:val="1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 Додаток 1</w:t>
      </w:r>
    </w:p>
    <w:p>
      <w:pPr>
        <w:shd w:val="clear" w:fill="FFFFFF"/>
        <w:spacing w:lineRule="auto" w:line="240" w:after="0" w:beforeAutospacing="0" w:afterAutospacing="0"/>
        <w:jc w:val="right"/>
        <w:rPr>
          <w:rFonts w:ascii="Times New Roman" w:hAnsi="Times New Roman"/>
          <w:b w:val="1"/>
          <w:i w:val="1"/>
          <w:color w:val="000000"/>
          <w:sz w:val="24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b w:val="1"/>
          <w:i w:val="1"/>
          <w:color w:val="000000"/>
          <w:sz w:val="24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b w:val="1"/>
          <w:i w:val="1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у відповідності до Особливостей: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/>
      <w:tr>
        <w:trPr>
          <w:trHeight w:hRule="atLeast" w:val="589"/>
          <w:jc w:val="center"/>
        </w:trPr>
        <w:tc>
          <w:tcPr>
            <w:tcW w:w="54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1.</w:t>
            </w:r>
          </w:p>
        </w:tc>
        <w:tc>
          <w:tcPr>
            <w:tcW w:w="366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i w:val="1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1.1. Довідка в довільній формі, з інформацією про виконання аналогічних за предметом закупівлі договорів (не менше двох договорів). Аналогічним вважається договір, предмет якого відповідає коду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ДК 021:2015: </w:t>
            </w:r>
            <w:r>
              <w:rPr>
                <w:rFonts w:ascii="Times New Roman" w:hAnsi="Times New Roman"/>
                <w:b w:val="1"/>
              </w:rPr>
              <w:t xml:space="preserve"> </w:t>
            </w:r>
            <w:bookmarkStart w:id="0" w:name="_Hlk160392609"/>
            <w:r>
              <w:rPr>
                <w:rFonts w:ascii="Times New Roman" w:hAnsi="Times New Roman"/>
                <w:b w:val="1"/>
              </w:rPr>
              <w:t>39160000-1 Шкільні меблі</w:t>
            </w:r>
            <w:bookmarkEnd w:id="0"/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1.2. На підтвердження досвіду виконання аналогічних за предметом закупівлі договорів Учасник має надати: - не менше 2-х копій договору, зазначеного у довідці у повному обсязі (з усіма укладеними додатковими угодами, додатками та специфікаціями до договору), - лист-відгук про якісне постачання товару до кожного договору, що зазначений в довідці.</w:t>
            </w:r>
          </w:p>
        </w:tc>
      </w:tr>
    </w:tbl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b w:val="1"/>
          <w:i w:val="1"/>
          <w:color w:val="000000"/>
          <w:sz w:val="24"/>
        </w:rPr>
      </w:pPr>
    </w:p>
    <w:p>
      <w:pPr>
        <w:spacing w:lineRule="auto" w:line="240" w:before="240" w:after="0" w:beforeAutospacing="0" w:afterAutospacing="0"/>
        <w:jc w:val="both"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>
      <w:pPr>
        <w:spacing w:lineRule="auto" w:line="240" w:before="240" w:after="0" w:beforeAutospacing="0" w:afterAutospacing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2. Перелік документів та інформації  для підтвердження відповідності УЧАСНИКА та ПЕРЕМОЖЦЯ вимогам, визначеним у відповідності до п.47 Особливостей: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/>
      <w:tr>
        <w:tc>
          <w:tcPr>
            <w:tcW w:w="0" w:type="auto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P2"/>
              <w:spacing w:before="0" w:after="0" w:beforeAutospacing="0" w:afterAutospacing="0"/>
              <w:jc w:val="center"/>
            </w:pPr>
            <w:r>
              <w:rPr>
                <w:b w:val="1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P2"/>
              <w:spacing w:before="0" w:after="0" w:beforeAutospacing="0" w:afterAutospacing="0"/>
              <w:jc w:val="center"/>
            </w:pPr>
            <w:r>
              <w:rPr>
                <w:b w:val="1"/>
                <w:color w:val="000000"/>
              </w:rPr>
              <w:t>Підстави для відмови в участі у процедурі закупівлі</w:t>
            </w:r>
          </w:p>
          <w:p>
            <w:pPr>
              <w:spacing w:lineRule="auto" w:line="240" w:beforeAutospacing="0" w:afterAutospacing="0"/>
              <w:rPr>
                <w:sz w:val="24"/>
              </w:rPr>
            </w:pPr>
          </w:p>
        </w:tc>
        <w:tc>
          <w:tcPr>
            <w:tcW w:w="232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  <w:hideMark/>
          </w:tcPr>
          <w:p>
            <w:pPr>
              <w:pStyle w:val="P2"/>
              <w:spacing w:before="0" w:after="0" w:beforeAutospacing="0" w:afterAutospacing="0"/>
              <w:jc w:val="center"/>
            </w:pPr>
            <w:r>
              <w:rPr>
                <w:b w:val="1"/>
                <w:color w:val="000000"/>
              </w:rPr>
              <w:t>Учасник процедури закупівлі</w:t>
            </w:r>
          </w:p>
        </w:tc>
        <w:tc>
          <w:tcPr>
            <w:tcW w:w="37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P2"/>
              <w:spacing w:before="0" w:after="0" w:beforeAutospacing="0" w:afterAutospacing="0"/>
              <w:jc w:val="center"/>
            </w:pPr>
            <w:r>
              <w:rPr>
                <w:b w:val="1"/>
                <w:color w:val="000000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>
        <w:tc>
          <w:tcPr>
            <w:tcW w:w="0" w:type="auto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2"/>
              <w:spacing w:before="0" w:after="0" w:beforeAutospacing="0" w:afterAutospacing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>
              <w:rPr>
                <w:rFonts w:ascii="Times New Roman" w:hAnsi="Times New Roman"/>
                <w:i w:val="1"/>
                <w:color w:val="000000"/>
                <w:sz w:val="24"/>
                <w:shd w:val="clear" w:fill="FFFFFF"/>
              </w:rPr>
              <w:t>(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підпункт 1 пункту 47 Особливостей)</w:t>
            </w:r>
          </w:p>
        </w:tc>
        <w:tc>
          <w:tcPr>
            <w:tcW w:w="232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підстав.</w:t>
            </w:r>
          </w:p>
        </w:tc>
        <w:tc>
          <w:tcPr>
            <w:tcW w:w="37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Переможець не надає підтвердження своєї відповідності.</w:t>
            </w:r>
          </w:p>
        </w:tc>
      </w:tr>
      <w:tr>
        <w:tc>
          <w:tcPr>
            <w:tcW w:w="0" w:type="auto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2"/>
              <w:spacing w:before="0" w:after="0" w:beforeAutospacing="0" w:afterAutospacing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 xml:space="preserve"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</w:t>
            </w:r>
            <w:r>
              <w:rPr>
                <w:rFonts w:ascii="Times New Roman" w:hAnsi="Times New Roman"/>
                <w:i w:val="1"/>
                <w:color w:val="000000"/>
                <w:sz w:val="24"/>
                <w:shd w:val="clear" w:fill="FFFFFF"/>
              </w:rPr>
              <w:t>(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підпункт 2 пункту 47 Особливостей)</w:t>
            </w:r>
          </w:p>
        </w:tc>
        <w:tc>
          <w:tcPr>
            <w:tcW w:w="232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2"/>
              <w:spacing w:before="0" w:after="0" w:beforeAutospacing="0" w:afterAutospacing="0"/>
              <w:jc w:val="both"/>
            </w:pPr>
            <w:r>
              <w:rPr>
                <w:color w:val="000000"/>
              </w:rPr>
              <w:t>Переможець не надає підтвердження своєї відповідності.</w:t>
            </w:r>
          </w:p>
        </w:tc>
      </w:tr>
      <w:tr>
        <w:tc>
          <w:tcPr>
            <w:tcW w:w="0" w:type="auto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2"/>
              <w:spacing w:before="0" w:after="0" w:beforeAutospacing="0" w:afterAutospacing="0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  до відповідальності за вчинення корупційного правопорушення або правопорушення, пов’язаного з корупцією </w:t>
            </w:r>
            <w:r>
              <w:rPr>
                <w:rFonts w:ascii="Times New Roman" w:hAnsi="Times New Roman"/>
                <w:i w:val="1"/>
                <w:color w:val="000000"/>
                <w:sz w:val="24"/>
                <w:shd w:val="clear" w:fill="FFFFFF"/>
              </w:rPr>
              <w:t>(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підпункт 3 пункту 47 Особливостей)</w:t>
            </w:r>
          </w:p>
        </w:tc>
        <w:tc>
          <w:tcPr>
            <w:tcW w:w="232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4"/>
              </w:rPr>
              <w:t>переможець надає довідку або інформаційну довідку або витяг з Реєстру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4"/>
              </w:rPr>
              <w:t>Єдиного державного реєстру осіб, які вчинили корупційні правопорушення)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яка / який оформлена на </w:t>
            </w: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>керівника* учасника процедури закупівлі або фізичну особу, яка є учасником процедури закупівлі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4"/>
              </w:rPr>
              <w:t xml:space="preserve"> 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 те, що керівника учасника процедури закупівлі, фізичну особу, яка є учасником процедури закупівлі,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не було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притягнуто згідно із законом 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>
        <w:tc>
          <w:tcPr>
            <w:tcW w:w="0" w:type="auto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2"/>
              <w:spacing w:before="0" w:after="0" w:beforeAutospacing="0" w:afterAutospacing="0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</w:t>
            </w:r>
            <w:r>
              <w:rPr>
                <w:rFonts w:ascii="Times New Roman" w:hAnsi="Times New Roman"/>
                <w:i w:val="1"/>
                <w:color w:val="000000"/>
                <w:sz w:val="24"/>
                <w:shd w:val="clear" w:fill="FFFFFF"/>
              </w:rPr>
              <w:t>(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підпункт 4 пункту 47 Особливостей)</w:t>
            </w:r>
          </w:p>
        </w:tc>
        <w:tc>
          <w:tcPr>
            <w:tcW w:w="232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Переможець не надає підтвердження своєї відповідності.</w:t>
            </w:r>
          </w:p>
        </w:tc>
      </w:tr>
      <w:tr>
        <w:tc>
          <w:tcPr>
            <w:tcW w:w="0" w:type="auto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2"/>
              <w:spacing w:before="0" w:after="0" w:beforeAutospacing="0" w:afterAutospacing="0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>
              <w:rPr>
                <w:rFonts w:ascii="Times New Roman" w:hAnsi="Times New Roman"/>
                <w:i w:val="1"/>
                <w:color w:val="000000"/>
                <w:sz w:val="24"/>
                <w:shd w:val="clear" w:fill="FFFFFF"/>
              </w:rPr>
              <w:t>(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підпункт 5 пункту 47 Особливостей)</w:t>
            </w:r>
          </w:p>
        </w:tc>
        <w:tc>
          <w:tcPr>
            <w:tcW w:w="232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  <w:p>
            <w:pPr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 повинен бути не більше тридцятиденної давнини від дати видачі документа.</w:t>
            </w:r>
          </w:p>
        </w:tc>
      </w:tr>
      <w:tr>
        <w:tc>
          <w:tcPr>
            <w:tcW w:w="0" w:type="auto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2"/>
              <w:spacing w:before="0" w:after="0" w:beforeAutospacing="0" w:afterAutospacing="0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>
              <w:rPr>
                <w:rFonts w:ascii="Times New Roman" w:hAnsi="Times New Roman"/>
                <w:i w:val="1"/>
                <w:color w:val="000000"/>
                <w:sz w:val="24"/>
                <w:shd w:val="clear" w:fill="FFFFFF"/>
              </w:rPr>
              <w:t>(підпункт 6 пункту 47 Особливостей)</w:t>
            </w:r>
          </w:p>
        </w:tc>
        <w:tc>
          <w:tcPr>
            <w:tcW w:w="232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  <w:p>
            <w:pPr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 повинен бути не більше тридцятиденної давнини від дати видачі документа.</w:t>
            </w:r>
          </w:p>
        </w:tc>
      </w:tr>
      <w:tr>
        <w:tc>
          <w:tcPr>
            <w:tcW w:w="0" w:type="auto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2"/>
              <w:spacing w:before="0" w:after="0" w:beforeAutospacing="0" w:afterAutospacing="0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>
              <w:rPr>
                <w:rFonts w:ascii="Times New Roman" w:hAnsi="Times New Roman"/>
                <w:i w:val="1"/>
                <w:color w:val="000000"/>
                <w:sz w:val="24"/>
                <w:shd w:val="clear" w:fill="FFFFFF"/>
              </w:rPr>
              <w:t>(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підпункт 7 пункту 47 Особливостей)</w:t>
            </w:r>
          </w:p>
        </w:tc>
        <w:tc>
          <w:tcPr>
            <w:tcW w:w="232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37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Переможець не надає підтвердження своєї відповідності.</w:t>
            </w:r>
          </w:p>
        </w:tc>
      </w:tr>
      <w:tr>
        <w:tc>
          <w:tcPr>
            <w:tcW w:w="0" w:type="auto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2"/>
              <w:spacing w:before="0" w:after="0" w:beforeAutospacing="0" w:afterAutospacing="0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>
              <w:rPr>
                <w:rFonts w:ascii="Times New Roman" w:hAnsi="Times New Roman"/>
                <w:i w:val="1"/>
                <w:color w:val="000000"/>
                <w:sz w:val="24"/>
                <w:shd w:val="clear" w:fill="FFFFFF"/>
              </w:rPr>
              <w:t>(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підпункт 8 пункту 47 Особливостей)</w:t>
            </w:r>
          </w:p>
        </w:tc>
        <w:tc>
          <w:tcPr>
            <w:tcW w:w="232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Переможець не надає підтвердження своєї відповідності.</w:t>
            </w:r>
          </w:p>
        </w:tc>
      </w:tr>
      <w:tr>
        <w:tc>
          <w:tcPr>
            <w:tcW w:w="0" w:type="auto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2"/>
              <w:spacing w:before="0" w:after="0" w:beforeAutospacing="0" w:afterAutospacing="0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>
              <w:rPr>
                <w:rFonts w:ascii="Times New Roman" w:hAnsi="Times New Roman"/>
                <w:i w:val="1"/>
                <w:color w:val="000000"/>
                <w:sz w:val="24"/>
                <w:shd w:val="clear" w:fill="FFFFFF"/>
              </w:rPr>
              <w:t>(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підпункт 9 пункту 47 Особливостей)</w:t>
            </w:r>
          </w:p>
        </w:tc>
        <w:tc>
          <w:tcPr>
            <w:tcW w:w="232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Переможець не надає підтвердження своєї відповідності.</w:t>
            </w:r>
          </w:p>
        </w:tc>
      </w:tr>
      <w:tr>
        <w:tc>
          <w:tcPr>
            <w:tcW w:w="0" w:type="auto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2"/>
              <w:spacing w:before="0" w:after="0" w:beforeAutospacing="0" w:afterAutospacing="0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>
              <w:rPr>
                <w:rFonts w:ascii="Times New Roman" w:hAnsi="Times New Roman"/>
                <w:i w:val="1"/>
                <w:color w:val="000000"/>
                <w:sz w:val="24"/>
                <w:shd w:val="clear" w:fill="FFFFFF"/>
              </w:rPr>
              <w:t>(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підпункт 10 пункту 47 Особливостей)</w:t>
            </w:r>
          </w:p>
        </w:tc>
        <w:tc>
          <w:tcPr>
            <w:tcW w:w="232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beforeAutospacing="0" w:afterAutospacing="0"/>
              <w:jc w:val="both"/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 </w:t>
            </w:r>
          </w:p>
          <w:p>
            <w:pPr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(лише у випадку, якщо вартість закупівлі дорівнює або перевищує 20 мільйонів гривень (у тому числі за лотом)</w:t>
            </w:r>
          </w:p>
        </w:tc>
        <w:tc>
          <w:tcPr>
            <w:tcW w:w="37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Переможець не надає підтвердження своєї відповідності.</w:t>
            </w:r>
          </w:p>
        </w:tc>
      </w:tr>
      <w:tr>
        <w:tc>
          <w:tcPr>
            <w:tcW w:w="0" w:type="auto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2"/>
              <w:spacing w:before="0" w:after="0" w:beforeAutospacing="0" w:afterAutospacing="0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>учасник процедури закупівлі або кінцевий бенефіціарний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"Про санкції" ", крім випадку, коли активи такої особи в установленому законодавством порядку передані в управління АРМА (підпункт 11 пункту 47 Особливостей)</w:t>
            </w:r>
          </w:p>
        </w:tc>
        <w:tc>
          <w:tcPr>
            <w:tcW w:w="232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пропозиції,</w:t>
            </w:r>
          </w:p>
          <w:p>
            <w:pPr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Переможець не надає підтвердження своєї відповідності.</w:t>
            </w:r>
          </w:p>
        </w:tc>
      </w:tr>
      <w:tr>
        <w:tc>
          <w:tcPr>
            <w:tcW w:w="0" w:type="auto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2"/>
              <w:spacing w:before="0" w:after="0" w:beforeAutospacing="0" w:afterAutospacing="0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>
              <w:rPr>
                <w:rFonts w:ascii="Times New Roman" w:hAnsi="Times New Roman"/>
                <w:i w:val="1"/>
                <w:color w:val="000000"/>
                <w:sz w:val="24"/>
                <w:shd w:val="clear" w:fill="FFFFFF"/>
              </w:rPr>
              <w:t>(підпункт 12 пункту 47 Особливостей)</w:t>
            </w:r>
          </w:p>
        </w:tc>
        <w:tc>
          <w:tcPr>
            <w:tcW w:w="232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перебуває.</w:t>
            </w:r>
          </w:p>
          <w:p>
            <w:pPr>
              <w:spacing w:lineRule="auto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 повинен бути не більше тридцятиденної давнини від дати видачі документа.</w:t>
            </w:r>
          </w:p>
        </w:tc>
      </w:tr>
    </w:tbl>
    <w:p>
      <w:pPr>
        <w:spacing w:lineRule="auto" w:line="240" w:beforeAutospacing="0" w:afterAutospacing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Враховуючи, що відповідно до статті 55 Господарського кодексу України відокремлені підрозділи та філії не є юридичними особами,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>
        <w:rPr>
          <w:rFonts w:ascii="Times New Roman" w:hAnsi="Times New Roman"/>
          <w:b w:val="1"/>
          <w:color w:val="000000"/>
          <w:sz w:val="24"/>
        </w:rPr>
        <w:t>на керівника юридичної особи</w:t>
      </w:r>
      <w:r>
        <w:rPr>
          <w:rFonts w:ascii="Times New Roman" w:hAnsi="Times New Roman"/>
          <w:color w:val="000000"/>
          <w:sz w:val="24"/>
        </w:rPr>
        <w:t>, а не керівника відокремленого підрозділу або філії. </w:t>
      </w:r>
    </w:p>
    <w:p>
      <w:pPr>
        <w:shd w:val="clear" w:fill="FFFFFF"/>
        <w:spacing w:lineRule="auto" w:line="240" w:before="240"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3.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/>
      <w:tr>
        <w:trPr>
          <w:trHeight w:hRule="atLeast" w:val="124"/>
        </w:trPr>
        <w:tc>
          <w:tcPr>
            <w:tcW w:w="95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spacing w:lineRule="auto" w:line="240" w:after="0" w:beforeAutospacing="0" w:afterAutospacing="0"/>
              <w:ind w:left="10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Інші документи від Учасника:</w:t>
            </w:r>
          </w:p>
        </w:tc>
      </w:tr>
    </w:tbl>
    <w:p>
      <w:pPr>
        <w:spacing w:lineRule="auto" w:line="240" w:before="240" w:after="0" w:beforeAutospacing="0" w:afterAutospacing="0"/>
        <w:jc w:val="both"/>
        <w:rPr>
          <w:rFonts w:ascii="Times New Roman" w:hAnsi="Times New Roman"/>
          <w:i w:val="1"/>
          <w:color w:val="000000"/>
          <w:sz w:val="24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/>
      <w:tr>
        <w:trPr>
          <w:trHeight w:hRule="atLeast" w:val="807"/>
        </w:trPr>
        <w:tc>
          <w:tcPr>
            <w:tcW w:w="198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spacing w:lineRule="auto" w:line="240" w:after="0" w:beforeAutospacing="0" w:afterAutospacing="0"/>
              <w:ind w:left="100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</w:t>
            </w:r>
          </w:p>
        </w:tc>
        <w:tc>
          <w:tcPr>
            <w:tcW w:w="757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spacing w:lineRule="auto" w:line="240" w:after="0" w:beforeAutospacing="0" w:afterAutospacing="0"/>
              <w:ind w:left="10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>
        <w:trPr>
          <w:trHeight w:hRule="atLeast" w:val="873"/>
        </w:trPr>
        <w:tc>
          <w:tcPr>
            <w:tcW w:w="198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spacing w:lineRule="auto" w:line="240" w:before="240" w:after="0" w:beforeAutospacing="0" w:afterAutospacing="0"/>
              <w:ind w:left="100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</w:t>
            </w:r>
          </w:p>
        </w:tc>
        <w:tc>
          <w:tcPr>
            <w:tcW w:w="757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pStyle w:val="P1"/>
              <w:spacing w:lineRule="auto" w:line="240" w:beforeAutospacing="0" w:afterAutospacing="0"/>
              <w:ind w:hanging="21" w:left="34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Також, учасник надає:</w:t>
            </w:r>
          </w:p>
          <w:p>
            <w:pPr>
              <w:pStyle w:val="P1"/>
              <w:spacing w:lineRule="auto" w:line="240" w:beforeAutospacing="0" w:afterAutospacing="0"/>
              <w:ind w:hanging="21" w:left="34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розпорядчі документи про призначення (обрання) на посаду відповідної особи - наказ про призначення та/ або протокол зборів засновників тощо (для юридичних осіб);</w:t>
            </w:r>
          </w:p>
          <w:p>
            <w:pPr>
              <w:pStyle w:val="P1"/>
              <w:spacing w:lineRule="auto" w:line="240" w:beforeAutospacing="0" w:afterAutospacing="0"/>
              <w:ind w:hanging="21" w:left="34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витяг/свідоцтво про сплату ПДВ/єдиного податку;</w:t>
            </w:r>
          </w:p>
          <w:p>
            <w:pPr>
              <w:pStyle w:val="P1"/>
              <w:spacing w:lineRule="auto" w:line="240" w:beforeAutospacing="0" w:afterAutospacing="0"/>
              <w:ind w:hanging="21" w:left="34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Для іноземного учасника - завірений переклад витягу з торгового реєстру, тощо;</w:t>
            </w:r>
          </w:p>
          <w:p>
            <w:pPr>
              <w:pStyle w:val="P1"/>
              <w:spacing w:lineRule="auto" w:line="240" w:beforeAutospacing="0" w:afterAutospacing="0"/>
              <w:ind w:hanging="21" w:left="34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/>
    <w:p/>
    <w:p/>
    <w:p>
      <w:pPr>
        <w:tabs>
          <w:tab w:val="left" w:pos="993" w:leader="none"/>
        </w:tabs>
        <w:ind w:firstLine="568"/>
        <w:jc w:val="both"/>
      </w:pPr>
    </w:p>
    <w:p/>
    <w:sectPr>
      <w:type w:val="nextPage"/>
      <w:pgMar w:left="1440" w:right="1440" w:top="1440" w:bottom="1440" w:header="0" w:footer="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13C807B9"/>
    <w:multiLevelType w:val="hybridMultilevel"/>
    <w:lvl w:ilvl="0" w:tplc="6CC8D56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5DD4F91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518E9C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079676DA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F15857C2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1CDEEF6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B91ABBF8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CF5EE282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310A9A1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">
    <w:nsid w:val="571F16D3"/>
    <w:multiLevelType w:val="hybridMultilevel"/>
    <w:lvl w:ilvl="0" w:tplc="83C8EE6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56B4BCA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10388A8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0BC4AF20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D8364C2E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088E85D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500411D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84F423CE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186C705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">
    <w:nsid w:val="652C1513"/>
    <w:multiLevelType w:val="hybridMultilevel"/>
    <w:lvl w:ilvl="0" w:tplc="7BC255C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334E9D9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8002600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7532774E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59B00880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88BAD66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783620EC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5F6C381A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C920556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uppressAutoHyphens w:val="1"/>
      <w:spacing w:lineRule="auto" w:line="259" w:after="160" w:beforeAutospacing="0" w:afterAutospacing="0"/>
    </w:pPr>
    <w:rPr/>
  </w:style>
  <w:style w:type="paragraph" w:styleId="P1">
    <w:name w:val="Обычный1"/>
    <w:qFormat/>
    <w:pPr>
      <w:suppressAutoHyphens w:val="1"/>
      <w:spacing w:after="0" w:beforeAutospacing="0" w:afterAutospacing="0"/>
    </w:pPr>
    <w:rPr>
      <w:rFonts w:ascii="Arial" w:hAnsi="Arial"/>
      <w:color w:val="000000"/>
    </w:rPr>
  </w:style>
  <w:style w:type="paragraph" w:styleId="P2">
    <w:name w:val="Normal (Web)"/>
    <w:basedOn w:val="P0"/>
    <w:pPr>
      <w:suppressAutoHyphens w:val="0"/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3">
    <w:name w:val="Основной текст с отступом 21"/>
    <w:basedOn w:val="P0"/>
    <w:qFormat/>
    <w:pPr>
      <w:spacing w:lineRule="auto" w:line="480" w:after="120" w:beforeAutospacing="0" w:afterAutospacing="0"/>
      <w:ind w:left="283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line number"/>
    <w:basedOn w:val="C0"/>
    <w:semiHidden/>
    <w:rPr/>
  </w:style>
  <w:style w:type="character" w:styleId="C4">
    <w:name w:val="xfm_40733485"/>
    <w:basedOn w:val="C0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