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9A242A" w14:paraId="1C08BA37" w14:textId="77777777" w:rsidTr="004D2E90">
        <w:tc>
          <w:tcPr>
            <w:tcW w:w="5954" w:type="dxa"/>
            <w:tcBorders>
              <w:top w:val="nil"/>
              <w:left w:val="nil"/>
              <w:bottom w:val="nil"/>
              <w:right w:val="nil"/>
            </w:tcBorders>
          </w:tcPr>
          <w:p w14:paraId="0BEABFAE" w14:textId="70F3FF07"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F92D48">
              <w:rPr>
                <w:rFonts w:ascii="Times New Roman" w:hAnsi="Times New Roman"/>
                <w:b/>
                <w:lang w:val="uk-UA"/>
              </w:rPr>
              <w:t>22</w:t>
            </w:r>
            <w:r w:rsidRPr="00863DB2">
              <w:rPr>
                <w:rFonts w:ascii="Times New Roman" w:hAnsi="Times New Roman"/>
                <w:b/>
                <w:lang w:val="uk-UA"/>
              </w:rPr>
              <w:t xml:space="preserve">» </w:t>
            </w:r>
            <w:r w:rsidR="0005577D">
              <w:rPr>
                <w:rFonts w:ascii="Times New Roman" w:hAnsi="Times New Roman"/>
                <w:b/>
                <w:lang w:val="uk-UA"/>
              </w:rPr>
              <w:t xml:space="preserve"> </w:t>
            </w:r>
            <w:r w:rsidR="00AF53CD">
              <w:rPr>
                <w:rFonts w:ascii="Times New Roman" w:hAnsi="Times New Roman"/>
                <w:b/>
                <w:lang w:val="uk-UA"/>
              </w:rPr>
              <w:t>лютого</w:t>
            </w:r>
            <w:r>
              <w:rPr>
                <w:rFonts w:ascii="Times New Roman" w:hAnsi="Times New Roman"/>
                <w:b/>
                <w:lang w:val="uk-UA"/>
              </w:rPr>
              <w:t xml:space="preserve"> </w:t>
            </w:r>
            <w:r w:rsidRPr="00863DB2">
              <w:rPr>
                <w:rFonts w:ascii="Times New Roman" w:hAnsi="Times New Roman"/>
                <w:b/>
                <w:lang w:val="uk-UA"/>
              </w:rPr>
              <w:t>202</w:t>
            </w:r>
            <w:r w:rsidR="00DD032B">
              <w:rPr>
                <w:rFonts w:ascii="Times New Roman" w:hAnsi="Times New Roman"/>
                <w:b/>
                <w:lang w:val="uk-UA"/>
              </w:rPr>
              <w:t>3</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6F83688A" w:rsidR="004D2E90" w:rsidRPr="00863DB2" w:rsidRDefault="00DD032B" w:rsidP="004D2E90">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r w:rsidR="0005577D">
              <w:rPr>
                <w:rFonts w:ascii="Times New Roman" w:hAnsi="Times New Roman"/>
                <w:b/>
                <w:lang w:val="uk-UA"/>
              </w:rPr>
              <w:t>.</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F92D48">
      <w:pPr>
        <w:rPr>
          <w:rFonts w:ascii="Times New Roman" w:hAnsi="Times New Roman"/>
          <w:b/>
          <w:bCs/>
          <w:color w:val="000000"/>
          <w:lang w:val="uk-UA"/>
        </w:rPr>
      </w:pPr>
    </w:p>
    <w:p w14:paraId="4A4F72C9" w14:textId="733F384A"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r w:rsidR="00F92D48">
        <w:rPr>
          <w:rFonts w:ascii="Times New Roman" w:eastAsia="Times New Roman" w:hAnsi="Times New Roman"/>
          <w:b/>
          <w:bCs/>
          <w:color w:val="000000"/>
          <w:sz w:val="24"/>
          <w:szCs w:val="24"/>
          <w:lang w:val="uk-UA" w:eastAsia="ru-RU"/>
        </w:rPr>
        <w:t>               </w:t>
      </w: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6E4AF995"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CB7CD4">
              <w:rPr>
                <w:rFonts w:ascii="Times New Roman" w:hAnsi="Times New Roman"/>
                <w:b/>
                <w:bCs/>
                <w:sz w:val="40"/>
                <w:szCs w:val="40"/>
                <w:lang w:val="uk-UA"/>
              </w:rPr>
              <w:t>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3FBE634F" w14:textId="3B432AB2" w:rsidR="004D2E90" w:rsidRPr="00F92D48" w:rsidRDefault="004D2E90" w:rsidP="00F92D48">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14:paraId="6A6DECCF" w14:textId="0BBD4056" w:rsidR="00337594" w:rsidRDefault="00604FE7" w:rsidP="00DF7022">
      <w:pPr>
        <w:spacing w:before="240" w:after="0" w:line="240" w:lineRule="auto"/>
        <w:jc w:val="center"/>
        <w:rPr>
          <w:rFonts w:ascii="Times New Roman" w:hAnsi="Times New Roman"/>
          <w:b/>
          <w:sz w:val="36"/>
          <w:szCs w:val="36"/>
          <w:lang w:val="uk-UA"/>
        </w:rPr>
      </w:pPr>
      <w:r w:rsidRPr="00604FE7">
        <w:rPr>
          <w:rFonts w:ascii="Times New Roman" w:hAnsi="Times New Roman"/>
          <w:b/>
          <w:sz w:val="36"/>
          <w:szCs w:val="36"/>
          <w:lang w:val="uk-UA"/>
        </w:rPr>
        <w:t xml:space="preserve">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w:t>
      </w:r>
      <w:r w:rsidRPr="00604FE7">
        <w:rPr>
          <w:rFonts w:ascii="Times New Roman" w:hAnsi="Times New Roman"/>
          <w:b/>
          <w:sz w:val="36"/>
          <w:szCs w:val="36"/>
        </w:rPr>
        <w:t xml:space="preserve">Дача Ковалевського,118 </w:t>
      </w:r>
      <w:proofErr w:type="spellStart"/>
      <w:r w:rsidRPr="00604FE7">
        <w:rPr>
          <w:rFonts w:ascii="Times New Roman" w:hAnsi="Times New Roman"/>
          <w:b/>
          <w:sz w:val="36"/>
          <w:szCs w:val="36"/>
        </w:rPr>
        <w:t>віл</w:t>
      </w:r>
      <w:proofErr w:type="spellEnd"/>
      <w:r w:rsidRPr="00604FE7">
        <w:rPr>
          <w:rFonts w:ascii="Times New Roman" w:hAnsi="Times New Roman"/>
          <w:b/>
          <w:sz w:val="36"/>
          <w:szCs w:val="36"/>
        </w:rPr>
        <w:t xml:space="preserve">. Дача Ковалевського,120 - </w:t>
      </w:r>
      <w:proofErr w:type="spellStart"/>
      <w:r w:rsidRPr="00604FE7">
        <w:rPr>
          <w:rFonts w:ascii="Times New Roman" w:hAnsi="Times New Roman"/>
          <w:b/>
          <w:sz w:val="36"/>
          <w:szCs w:val="36"/>
        </w:rPr>
        <w:t>згідно</w:t>
      </w:r>
      <w:proofErr w:type="spellEnd"/>
      <w:r w:rsidRPr="00604FE7">
        <w:rPr>
          <w:rFonts w:ascii="Times New Roman" w:hAnsi="Times New Roman"/>
          <w:b/>
          <w:sz w:val="36"/>
          <w:szCs w:val="36"/>
        </w:rPr>
        <w:t xml:space="preserve"> до ДК 021:2015: 50710000-5 - </w:t>
      </w:r>
      <w:proofErr w:type="spellStart"/>
      <w:r w:rsidRPr="00604FE7">
        <w:rPr>
          <w:rFonts w:ascii="Times New Roman" w:hAnsi="Times New Roman"/>
          <w:b/>
          <w:sz w:val="36"/>
          <w:szCs w:val="36"/>
        </w:rPr>
        <w:t>Послуги</w:t>
      </w:r>
      <w:proofErr w:type="spellEnd"/>
      <w:r w:rsidRPr="00604FE7">
        <w:rPr>
          <w:rFonts w:ascii="Times New Roman" w:hAnsi="Times New Roman"/>
          <w:b/>
          <w:sz w:val="36"/>
          <w:szCs w:val="36"/>
        </w:rPr>
        <w:t xml:space="preserve"> з ремонту і </w:t>
      </w:r>
      <w:proofErr w:type="spellStart"/>
      <w:proofErr w:type="gramStart"/>
      <w:r w:rsidRPr="00604FE7">
        <w:rPr>
          <w:rFonts w:ascii="Times New Roman" w:hAnsi="Times New Roman"/>
          <w:b/>
          <w:sz w:val="36"/>
          <w:szCs w:val="36"/>
        </w:rPr>
        <w:t>техн</w:t>
      </w:r>
      <w:proofErr w:type="gramEnd"/>
      <w:r w:rsidRPr="00604FE7">
        <w:rPr>
          <w:rFonts w:ascii="Times New Roman" w:hAnsi="Times New Roman"/>
          <w:b/>
          <w:sz w:val="36"/>
          <w:szCs w:val="36"/>
        </w:rPr>
        <w:t>ічного</w:t>
      </w:r>
      <w:proofErr w:type="spellEnd"/>
      <w:r w:rsidRPr="00604FE7">
        <w:rPr>
          <w:rFonts w:ascii="Times New Roman" w:hAnsi="Times New Roman"/>
          <w:b/>
          <w:sz w:val="36"/>
          <w:szCs w:val="36"/>
        </w:rPr>
        <w:t xml:space="preserve"> </w:t>
      </w:r>
      <w:proofErr w:type="spellStart"/>
      <w:r w:rsidRPr="00604FE7">
        <w:rPr>
          <w:rFonts w:ascii="Times New Roman" w:hAnsi="Times New Roman"/>
          <w:b/>
          <w:sz w:val="36"/>
          <w:szCs w:val="36"/>
        </w:rPr>
        <w:t>обслуговування</w:t>
      </w:r>
      <w:proofErr w:type="spellEnd"/>
      <w:r w:rsidRPr="00604FE7">
        <w:rPr>
          <w:rFonts w:ascii="Times New Roman" w:hAnsi="Times New Roman"/>
          <w:b/>
          <w:sz w:val="36"/>
          <w:szCs w:val="36"/>
        </w:rPr>
        <w:t xml:space="preserve"> </w:t>
      </w:r>
      <w:proofErr w:type="spellStart"/>
      <w:r w:rsidRPr="00604FE7">
        <w:rPr>
          <w:rFonts w:ascii="Times New Roman" w:hAnsi="Times New Roman"/>
          <w:b/>
          <w:sz w:val="36"/>
          <w:szCs w:val="36"/>
        </w:rPr>
        <w:t>електричного</w:t>
      </w:r>
      <w:proofErr w:type="spellEnd"/>
      <w:r w:rsidRPr="00604FE7">
        <w:rPr>
          <w:rFonts w:ascii="Times New Roman" w:hAnsi="Times New Roman"/>
          <w:b/>
          <w:sz w:val="36"/>
          <w:szCs w:val="36"/>
        </w:rPr>
        <w:t xml:space="preserve"> і </w:t>
      </w:r>
      <w:proofErr w:type="spellStart"/>
      <w:r w:rsidRPr="00604FE7">
        <w:rPr>
          <w:rFonts w:ascii="Times New Roman" w:hAnsi="Times New Roman"/>
          <w:b/>
          <w:sz w:val="36"/>
          <w:szCs w:val="36"/>
        </w:rPr>
        <w:t>механічного</w:t>
      </w:r>
      <w:proofErr w:type="spellEnd"/>
      <w:r w:rsidRPr="00604FE7">
        <w:rPr>
          <w:rFonts w:ascii="Times New Roman" w:hAnsi="Times New Roman"/>
          <w:b/>
          <w:sz w:val="36"/>
          <w:szCs w:val="36"/>
        </w:rPr>
        <w:t xml:space="preserve"> </w:t>
      </w:r>
      <w:proofErr w:type="spellStart"/>
      <w:r w:rsidRPr="00604FE7">
        <w:rPr>
          <w:rFonts w:ascii="Times New Roman" w:hAnsi="Times New Roman"/>
          <w:b/>
          <w:sz w:val="36"/>
          <w:szCs w:val="36"/>
        </w:rPr>
        <w:t>устаткування</w:t>
      </w:r>
      <w:proofErr w:type="spellEnd"/>
      <w:r w:rsidRPr="00604FE7">
        <w:rPr>
          <w:rFonts w:ascii="Times New Roman" w:hAnsi="Times New Roman"/>
          <w:b/>
          <w:sz w:val="36"/>
          <w:szCs w:val="36"/>
        </w:rPr>
        <w:t xml:space="preserve"> </w:t>
      </w:r>
      <w:proofErr w:type="spellStart"/>
      <w:r w:rsidRPr="00604FE7">
        <w:rPr>
          <w:rFonts w:ascii="Times New Roman" w:hAnsi="Times New Roman"/>
          <w:b/>
          <w:sz w:val="36"/>
          <w:szCs w:val="36"/>
        </w:rPr>
        <w:t>будівель</w:t>
      </w:r>
      <w:proofErr w:type="spellEnd"/>
    </w:p>
    <w:p w14:paraId="1622B3EB" w14:textId="77777777" w:rsidR="00337594" w:rsidRDefault="00337594" w:rsidP="00DF7022">
      <w:pPr>
        <w:spacing w:before="240" w:after="0" w:line="240" w:lineRule="auto"/>
        <w:jc w:val="center"/>
        <w:rPr>
          <w:rFonts w:ascii="Times New Roman" w:eastAsia="Times New Roman" w:hAnsi="Times New Roman"/>
          <w:b/>
          <w:sz w:val="36"/>
          <w:szCs w:val="36"/>
          <w:lang w:val="uk-UA" w:eastAsia="ru-RU"/>
        </w:rPr>
      </w:pPr>
    </w:p>
    <w:p w14:paraId="78A0A5B5" w14:textId="77777777" w:rsidR="00604FE7" w:rsidRPr="00337594" w:rsidRDefault="00604FE7" w:rsidP="00DF7022">
      <w:pPr>
        <w:spacing w:before="240" w:after="0" w:line="240" w:lineRule="auto"/>
        <w:jc w:val="center"/>
        <w:rPr>
          <w:rFonts w:ascii="Times New Roman" w:eastAsia="Times New Roman" w:hAnsi="Times New Roman"/>
          <w:b/>
          <w:sz w:val="36"/>
          <w:szCs w:val="36"/>
          <w:lang w:val="uk-UA" w:eastAsia="ru-RU"/>
        </w:rPr>
      </w:pPr>
      <w:bookmarkStart w:id="0" w:name="_GoBack"/>
      <w:bookmarkEnd w:id="0"/>
    </w:p>
    <w:p w14:paraId="77DC8556" w14:textId="1ED9C1AE" w:rsidR="004D2E90" w:rsidRPr="00F92D48" w:rsidRDefault="004D2E90" w:rsidP="00CB7CD4">
      <w:pPr>
        <w:spacing w:before="240" w:after="0" w:line="240" w:lineRule="auto"/>
        <w:jc w:val="center"/>
        <w:rPr>
          <w:rFonts w:ascii="Times New Roman" w:eastAsia="Times New Roman" w:hAnsi="Times New Roman"/>
          <w:b/>
          <w:sz w:val="36"/>
          <w:szCs w:val="36"/>
          <w:lang w:val="uk-UA" w:eastAsia="ru-RU"/>
        </w:rPr>
      </w:pPr>
      <w:r w:rsidRPr="00F92D48">
        <w:rPr>
          <w:rFonts w:ascii="Times New Roman" w:eastAsia="Times New Roman" w:hAnsi="Times New Roman"/>
          <w:b/>
          <w:sz w:val="36"/>
          <w:szCs w:val="36"/>
          <w:lang w:val="uk-UA" w:eastAsia="ru-RU"/>
        </w:rPr>
        <w:t>м. Одеса – 202</w:t>
      </w:r>
      <w:r w:rsidR="00DD032B" w:rsidRPr="00F92D48">
        <w:rPr>
          <w:rFonts w:ascii="Times New Roman" w:eastAsia="Times New Roman" w:hAnsi="Times New Roman"/>
          <w:b/>
          <w:sz w:val="36"/>
          <w:szCs w:val="36"/>
          <w:lang w:val="uk-UA" w:eastAsia="ru-RU"/>
        </w:rPr>
        <w:t>3</w:t>
      </w:r>
      <w:r w:rsidRPr="00F92D48">
        <w:rPr>
          <w:rFonts w:ascii="Times New Roman" w:eastAsia="Times New Roman" w:hAnsi="Times New Roman"/>
          <w:b/>
          <w:sz w:val="36"/>
          <w:szCs w:val="36"/>
          <w:lang w:val="uk-UA" w:eastAsia="ru-RU"/>
        </w:rPr>
        <w:t xml:space="preserve"> рік</w:t>
      </w:r>
    </w:p>
    <w:p w14:paraId="32F9D065" w14:textId="602818DB" w:rsidR="00DF7022" w:rsidRDefault="00DF7022"/>
    <w:p w14:paraId="3EC461F6" w14:textId="77777777" w:rsidR="00DF7022" w:rsidRDefault="00DF70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5"/>
        <w:gridCol w:w="240"/>
        <w:gridCol w:w="1803"/>
        <w:gridCol w:w="7033"/>
      </w:tblGrid>
      <w:tr w:rsidR="00B413F2" w:rsidRPr="000A74B5" w14:paraId="2102D6B6" w14:textId="77777777" w:rsidTr="00637F14">
        <w:tc>
          <w:tcPr>
            <w:tcW w:w="325" w:type="pct"/>
            <w:gridSpan w:val="2"/>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75" w:type="pct"/>
            <w:gridSpan w:val="2"/>
            <w:shd w:val="clear" w:color="auto" w:fill="FFFFFF"/>
            <w:hideMark/>
          </w:tcPr>
          <w:p w14:paraId="5F10C282" w14:textId="6899A5CD"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7F14">
        <w:trPr>
          <w:trHeight w:val="17"/>
        </w:trPr>
        <w:tc>
          <w:tcPr>
            <w:tcW w:w="325" w:type="pct"/>
            <w:gridSpan w:val="2"/>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54"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2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37F14">
        <w:tc>
          <w:tcPr>
            <w:tcW w:w="325" w:type="pct"/>
            <w:gridSpan w:val="2"/>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54"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2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637F14">
        <w:tc>
          <w:tcPr>
            <w:tcW w:w="325" w:type="pct"/>
            <w:gridSpan w:val="2"/>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54"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2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637F14">
        <w:tc>
          <w:tcPr>
            <w:tcW w:w="325" w:type="pct"/>
            <w:gridSpan w:val="2"/>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54"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2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637F14">
        <w:tc>
          <w:tcPr>
            <w:tcW w:w="325" w:type="pct"/>
            <w:gridSpan w:val="2"/>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54"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2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604FE7" w14:paraId="367D21D5" w14:textId="77777777" w:rsidTr="00637F14">
        <w:tc>
          <w:tcPr>
            <w:tcW w:w="325" w:type="pct"/>
            <w:gridSpan w:val="2"/>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54"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20" w:type="pct"/>
            <w:shd w:val="clear" w:color="auto" w:fill="FFFFFF"/>
            <w:hideMark/>
          </w:tcPr>
          <w:p w14:paraId="14394ECC" w14:textId="63F945C9" w:rsidR="009A242A" w:rsidRPr="009A242A" w:rsidRDefault="00DD032B" w:rsidP="009A242A">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 пр</w:t>
            </w:r>
            <w:r w:rsidR="00311809">
              <w:rPr>
                <w:rFonts w:ascii="Times New Roman" w:hAnsi="Times New Roman"/>
                <w:sz w:val="24"/>
                <w:szCs w:val="24"/>
                <w:lang w:val="uk-UA"/>
              </w:rPr>
              <w:t>о</w:t>
            </w:r>
            <w:r>
              <w:rPr>
                <w:rFonts w:ascii="Times New Roman" w:hAnsi="Times New Roman"/>
                <w:sz w:val="24"/>
                <w:szCs w:val="24"/>
                <w:lang w:val="uk-UA"/>
              </w:rPr>
              <w:t>відний</w:t>
            </w:r>
            <w:r w:rsidR="009A242A" w:rsidRPr="009A242A">
              <w:rPr>
                <w:rFonts w:ascii="Times New Roman" w:hAnsi="Times New Roman"/>
                <w:sz w:val="24"/>
                <w:szCs w:val="24"/>
                <w:lang w:val="uk-UA"/>
              </w:rPr>
              <w:t xml:space="preserve">  фахівець відділу публічних закупівель, уповноважена особа КП «ОМЕТ», </w:t>
            </w:r>
          </w:p>
          <w:p w14:paraId="23BD76A3" w14:textId="450C8012" w:rsidR="004D2E90" w:rsidRPr="00B413F2" w:rsidRDefault="00DD032B" w:rsidP="00DD032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katerynabenyk</w:t>
            </w:r>
            <w:proofErr w:type="spellEnd"/>
            <w:r w:rsidR="009A242A" w:rsidRPr="009A242A">
              <w:rPr>
                <w:rFonts w:ascii="Times New Roman" w:hAnsi="Times New Roman"/>
                <w:sz w:val="24"/>
                <w:szCs w:val="24"/>
                <w:lang w:val="uk-UA"/>
              </w:rPr>
              <w:t>@gmail.com, (048) 717-54-67</w:t>
            </w:r>
          </w:p>
        </w:tc>
      </w:tr>
      <w:tr w:rsidR="00B413F2" w:rsidRPr="000A74B5" w14:paraId="5229C400" w14:textId="77777777" w:rsidTr="00637F14">
        <w:tc>
          <w:tcPr>
            <w:tcW w:w="325" w:type="pct"/>
            <w:gridSpan w:val="2"/>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54"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2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7F14">
        <w:tc>
          <w:tcPr>
            <w:tcW w:w="325" w:type="pct"/>
            <w:gridSpan w:val="2"/>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54"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2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B7CD4" w14:paraId="76462DF4" w14:textId="77777777" w:rsidTr="00637F14">
        <w:tc>
          <w:tcPr>
            <w:tcW w:w="325" w:type="pct"/>
            <w:gridSpan w:val="2"/>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54"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20" w:type="pct"/>
            <w:shd w:val="clear" w:color="auto" w:fill="FFFFFF"/>
            <w:hideMark/>
          </w:tcPr>
          <w:p w14:paraId="498B0B88" w14:textId="6B633BFA" w:rsidR="00B413F2" w:rsidRPr="00B413F2" w:rsidRDefault="00D52070" w:rsidP="00A67393">
            <w:pPr>
              <w:spacing w:before="150" w:after="150" w:line="240" w:lineRule="auto"/>
              <w:jc w:val="both"/>
              <w:rPr>
                <w:rFonts w:ascii="Times New Roman" w:eastAsia="Times New Roman" w:hAnsi="Times New Roman"/>
                <w:sz w:val="24"/>
                <w:szCs w:val="24"/>
                <w:lang w:val="uk-UA" w:eastAsia="ru-RU"/>
              </w:rPr>
            </w:pPr>
            <w:r w:rsidRPr="00D52070">
              <w:rPr>
                <w:rFonts w:ascii="Times New Roman" w:eastAsia="SimSun" w:hAnsi="Times New Roman" w:cs="SimSun"/>
                <w:b/>
                <w:lang w:val="uk-UA" w:eastAsia="uk-UA"/>
              </w:rPr>
              <w:t xml:space="preserve">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w:t>
            </w:r>
            <w:r w:rsidRPr="00D52070">
              <w:rPr>
                <w:rFonts w:ascii="Times New Roman" w:eastAsia="SimSun" w:hAnsi="Times New Roman" w:cs="SimSun"/>
                <w:b/>
                <w:lang w:eastAsia="uk-UA"/>
              </w:rPr>
              <w:t xml:space="preserve">Дача Ковалевського,118 </w:t>
            </w:r>
            <w:proofErr w:type="spellStart"/>
            <w:r w:rsidRPr="00D52070">
              <w:rPr>
                <w:rFonts w:ascii="Times New Roman" w:eastAsia="SimSun" w:hAnsi="Times New Roman" w:cs="SimSun"/>
                <w:b/>
                <w:lang w:eastAsia="uk-UA"/>
              </w:rPr>
              <w:t>віл</w:t>
            </w:r>
            <w:proofErr w:type="spellEnd"/>
            <w:r w:rsidRPr="00D52070">
              <w:rPr>
                <w:rFonts w:ascii="Times New Roman" w:eastAsia="SimSun" w:hAnsi="Times New Roman" w:cs="SimSun"/>
                <w:b/>
                <w:lang w:eastAsia="uk-UA"/>
              </w:rPr>
              <w:t xml:space="preserve">. Дача Ковалевського,120 - </w:t>
            </w:r>
            <w:proofErr w:type="spellStart"/>
            <w:r w:rsidRPr="00D52070">
              <w:rPr>
                <w:rFonts w:ascii="Times New Roman" w:eastAsia="SimSun" w:hAnsi="Times New Roman" w:cs="SimSun"/>
                <w:b/>
                <w:lang w:eastAsia="uk-UA"/>
              </w:rPr>
              <w:t>згідно</w:t>
            </w:r>
            <w:proofErr w:type="spellEnd"/>
            <w:r w:rsidRPr="00D52070">
              <w:rPr>
                <w:rFonts w:ascii="Times New Roman" w:eastAsia="SimSun" w:hAnsi="Times New Roman" w:cs="SimSun"/>
                <w:b/>
                <w:lang w:eastAsia="uk-UA"/>
              </w:rPr>
              <w:t xml:space="preserve"> до ДК 021:2015: 50710000-5 - </w:t>
            </w:r>
            <w:proofErr w:type="spellStart"/>
            <w:r w:rsidRPr="00D52070">
              <w:rPr>
                <w:rFonts w:ascii="Times New Roman" w:eastAsia="SimSun" w:hAnsi="Times New Roman" w:cs="SimSun"/>
                <w:b/>
                <w:lang w:eastAsia="uk-UA"/>
              </w:rPr>
              <w:t>Послуги</w:t>
            </w:r>
            <w:proofErr w:type="spellEnd"/>
            <w:r w:rsidRPr="00D52070">
              <w:rPr>
                <w:rFonts w:ascii="Times New Roman" w:eastAsia="SimSun" w:hAnsi="Times New Roman" w:cs="SimSun"/>
                <w:b/>
                <w:lang w:eastAsia="uk-UA"/>
              </w:rPr>
              <w:t xml:space="preserve"> з ремонту і </w:t>
            </w:r>
            <w:proofErr w:type="spellStart"/>
            <w:proofErr w:type="gramStart"/>
            <w:r w:rsidRPr="00D52070">
              <w:rPr>
                <w:rFonts w:ascii="Times New Roman" w:eastAsia="SimSun" w:hAnsi="Times New Roman" w:cs="SimSun"/>
                <w:b/>
                <w:lang w:eastAsia="uk-UA"/>
              </w:rPr>
              <w:t>техн</w:t>
            </w:r>
            <w:proofErr w:type="gramEnd"/>
            <w:r w:rsidRPr="00D52070">
              <w:rPr>
                <w:rFonts w:ascii="Times New Roman" w:eastAsia="SimSun" w:hAnsi="Times New Roman" w:cs="SimSun"/>
                <w:b/>
                <w:lang w:eastAsia="uk-UA"/>
              </w:rPr>
              <w:t>ічного</w:t>
            </w:r>
            <w:proofErr w:type="spellEnd"/>
            <w:r w:rsidRPr="00D52070">
              <w:rPr>
                <w:rFonts w:ascii="Times New Roman" w:eastAsia="SimSun" w:hAnsi="Times New Roman" w:cs="SimSun"/>
                <w:b/>
                <w:lang w:eastAsia="uk-UA"/>
              </w:rPr>
              <w:t xml:space="preserve"> </w:t>
            </w:r>
            <w:proofErr w:type="spellStart"/>
            <w:r w:rsidRPr="00D52070">
              <w:rPr>
                <w:rFonts w:ascii="Times New Roman" w:eastAsia="SimSun" w:hAnsi="Times New Roman" w:cs="SimSun"/>
                <w:b/>
                <w:lang w:eastAsia="uk-UA"/>
              </w:rPr>
              <w:t>обслуговування</w:t>
            </w:r>
            <w:proofErr w:type="spellEnd"/>
            <w:r w:rsidRPr="00D52070">
              <w:rPr>
                <w:rFonts w:ascii="Times New Roman" w:eastAsia="SimSun" w:hAnsi="Times New Roman" w:cs="SimSun"/>
                <w:b/>
                <w:lang w:eastAsia="uk-UA"/>
              </w:rPr>
              <w:t xml:space="preserve"> </w:t>
            </w:r>
            <w:proofErr w:type="spellStart"/>
            <w:r w:rsidRPr="00D52070">
              <w:rPr>
                <w:rFonts w:ascii="Times New Roman" w:eastAsia="SimSun" w:hAnsi="Times New Roman" w:cs="SimSun"/>
                <w:b/>
                <w:lang w:eastAsia="uk-UA"/>
              </w:rPr>
              <w:t>електричного</w:t>
            </w:r>
            <w:proofErr w:type="spellEnd"/>
            <w:r w:rsidRPr="00D52070">
              <w:rPr>
                <w:rFonts w:ascii="Times New Roman" w:eastAsia="SimSun" w:hAnsi="Times New Roman" w:cs="SimSun"/>
                <w:b/>
                <w:lang w:eastAsia="uk-UA"/>
              </w:rPr>
              <w:t xml:space="preserve"> і </w:t>
            </w:r>
            <w:proofErr w:type="spellStart"/>
            <w:r w:rsidRPr="00D52070">
              <w:rPr>
                <w:rFonts w:ascii="Times New Roman" w:eastAsia="SimSun" w:hAnsi="Times New Roman" w:cs="SimSun"/>
                <w:b/>
                <w:lang w:eastAsia="uk-UA"/>
              </w:rPr>
              <w:t>механічного</w:t>
            </w:r>
            <w:proofErr w:type="spellEnd"/>
            <w:r w:rsidRPr="00D52070">
              <w:rPr>
                <w:rFonts w:ascii="Times New Roman" w:eastAsia="SimSun" w:hAnsi="Times New Roman" w:cs="SimSun"/>
                <w:b/>
                <w:lang w:eastAsia="uk-UA"/>
              </w:rPr>
              <w:t xml:space="preserve"> </w:t>
            </w:r>
            <w:proofErr w:type="spellStart"/>
            <w:r w:rsidRPr="00D52070">
              <w:rPr>
                <w:rFonts w:ascii="Times New Roman" w:eastAsia="SimSun" w:hAnsi="Times New Roman" w:cs="SimSun"/>
                <w:b/>
                <w:lang w:eastAsia="uk-UA"/>
              </w:rPr>
              <w:t>устаткування</w:t>
            </w:r>
            <w:proofErr w:type="spellEnd"/>
            <w:r w:rsidRPr="00D52070">
              <w:rPr>
                <w:rFonts w:ascii="Times New Roman" w:eastAsia="SimSun" w:hAnsi="Times New Roman" w:cs="SimSun"/>
                <w:b/>
                <w:lang w:eastAsia="uk-UA"/>
              </w:rPr>
              <w:t xml:space="preserve"> </w:t>
            </w:r>
            <w:proofErr w:type="spellStart"/>
            <w:r w:rsidRPr="00D52070">
              <w:rPr>
                <w:rFonts w:ascii="Times New Roman" w:eastAsia="SimSun" w:hAnsi="Times New Roman" w:cs="SimSun"/>
                <w:b/>
                <w:lang w:eastAsia="uk-UA"/>
              </w:rPr>
              <w:t>будівель</w:t>
            </w:r>
            <w:proofErr w:type="spellEnd"/>
          </w:p>
        </w:tc>
      </w:tr>
      <w:tr w:rsidR="00B413F2" w:rsidRPr="000A74B5" w14:paraId="5DFEF044" w14:textId="77777777" w:rsidTr="00637F14">
        <w:tc>
          <w:tcPr>
            <w:tcW w:w="325" w:type="pct"/>
            <w:gridSpan w:val="2"/>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54"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w:t>
            </w:r>
            <w:r w:rsidRPr="00B413F2">
              <w:rPr>
                <w:rFonts w:ascii="Times New Roman" w:eastAsia="Times New Roman" w:hAnsi="Times New Roman"/>
                <w:sz w:val="24"/>
                <w:szCs w:val="24"/>
                <w:lang w:val="uk-UA" w:eastAsia="ru-RU"/>
              </w:rPr>
              <w:lastRenderedPageBreak/>
              <w:t>(частин) предмета закупівлі (лота), щодо якої можуть бути подані тендерні пропозиції</w:t>
            </w:r>
          </w:p>
        </w:tc>
        <w:tc>
          <w:tcPr>
            <w:tcW w:w="372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637F14">
        <w:tc>
          <w:tcPr>
            <w:tcW w:w="325" w:type="pct"/>
            <w:gridSpan w:val="2"/>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954" w:type="pct"/>
            <w:shd w:val="clear" w:color="auto" w:fill="FFFFFF"/>
            <w:hideMark/>
          </w:tcPr>
          <w:p w14:paraId="75FFCE01" w14:textId="07572EA4" w:rsidR="00B413F2" w:rsidRPr="00B413F2" w:rsidRDefault="006B6135" w:rsidP="00DA6C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DA6CA0">
              <w:rPr>
                <w:rFonts w:ascii="Times New Roman" w:eastAsia="Times New Roman" w:hAnsi="Times New Roman"/>
                <w:sz w:val="24"/>
                <w:szCs w:val="24"/>
                <w:lang w:val="uk-UA" w:eastAsia="ru-RU"/>
              </w:rPr>
              <w:t>та місце надання послуг</w:t>
            </w:r>
          </w:p>
        </w:tc>
        <w:tc>
          <w:tcPr>
            <w:tcW w:w="3720" w:type="pct"/>
            <w:shd w:val="clear" w:color="auto" w:fill="FFFFFF"/>
            <w:hideMark/>
          </w:tcPr>
          <w:p w14:paraId="0C5F1F83" w14:textId="6B8FF36E" w:rsidR="006B604E" w:rsidRDefault="00B413F2" w:rsidP="0019075E">
            <w:pPr>
              <w:pStyle w:val="rvps2"/>
              <w:shd w:val="clear" w:color="auto" w:fill="FFFFFF"/>
              <w:spacing w:before="0" w:beforeAutospacing="0" w:after="0" w:afterAutospacing="0"/>
              <w:jc w:val="both"/>
              <w:rPr>
                <w:lang w:val="uk-UA"/>
              </w:rPr>
            </w:pPr>
            <w:r>
              <w:rPr>
                <w:lang w:val="uk-UA"/>
              </w:rPr>
              <w:t xml:space="preserve">Місце </w:t>
            </w:r>
            <w:r w:rsidR="00DA6CA0">
              <w:rPr>
                <w:lang w:val="uk-UA"/>
              </w:rPr>
              <w:t>надання послуг</w:t>
            </w:r>
            <w:r>
              <w:rPr>
                <w:lang w:val="uk-UA"/>
              </w:rPr>
              <w:t xml:space="preserve">: </w:t>
            </w:r>
            <w:r w:rsidR="00F92D48" w:rsidRPr="00F92D48">
              <w:rPr>
                <w:lang w:val="uk-UA" w:eastAsia="zh-CN"/>
              </w:rPr>
              <w:t xml:space="preserve">65000, </w:t>
            </w:r>
            <w:r w:rsidR="00D52070" w:rsidRPr="00D52070">
              <w:rPr>
                <w:b/>
                <w:lang w:val="uk-UA" w:eastAsia="zh-CN"/>
              </w:rPr>
              <w:t xml:space="preserve">м. Одеса, вул. </w:t>
            </w:r>
            <w:r w:rsidR="00D52070" w:rsidRPr="00D52070">
              <w:rPr>
                <w:b/>
                <w:lang w:eastAsia="zh-CN"/>
              </w:rPr>
              <w:t xml:space="preserve">Дача Ковалевського,118 </w:t>
            </w:r>
            <w:proofErr w:type="spellStart"/>
            <w:r w:rsidR="00D52070" w:rsidRPr="00D52070">
              <w:rPr>
                <w:b/>
                <w:lang w:eastAsia="zh-CN"/>
              </w:rPr>
              <w:t>віл</w:t>
            </w:r>
            <w:proofErr w:type="spellEnd"/>
            <w:r w:rsidR="00D52070" w:rsidRPr="00D52070">
              <w:rPr>
                <w:b/>
                <w:lang w:eastAsia="zh-CN"/>
              </w:rPr>
              <w:t>. Дача Ковалевського,120</w:t>
            </w:r>
          </w:p>
          <w:p w14:paraId="46D1CB3D" w14:textId="0EB15E88" w:rsidR="004D2E90" w:rsidRDefault="00B413F2" w:rsidP="00637F14">
            <w:pPr>
              <w:pStyle w:val="rvps2"/>
              <w:shd w:val="clear" w:color="auto" w:fill="FFFFFF"/>
              <w:spacing w:before="0" w:beforeAutospacing="0" w:after="0" w:afterAutospacing="0"/>
              <w:jc w:val="both"/>
              <w:rPr>
                <w:lang w:val="uk-UA"/>
              </w:rPr>
            </w:pPr>
            <w:r>
              <w:rPr>
                <w:lang w:val="uk-UA"/>
              </w:rPr>
              <w:t xml:space="preserve">Кількість </w:t>
            </w:r>
            <w:r w:rsidR="00DA6CA0">
              <w:rPr>
                <w:lang w:val="uk-UA"/>
              </w:rPr>
              <w:t>надання послуг</w:t>
            </w:r>
            <w:r>
              <w:rPr>
                <w:lang w:val="uk-UA"/>
              </w:rPr>
              <w:t xml:space="preserve">: </w:t>
            </w:r>
            <w:r w:rsidR="00F92D48">
              <w:rPr>
                <w:lang w:val="uk-UA"/>
              </w:rPr>
              <w:t>1</w:t>
            </w:r>
          </w:p>
          <w:p w14:paraId="154E1A7F" w14:textId="06D28E6F" w:rsidR="00637F14" w:rsidRPr="00DA6CA0" w:rsidRDefault="00637F14" w:rsidP="00637F14">
            <w:pPr>
              <w:pStyle w:val="rvps2"/>
              <w:shd w:val="clear" w:color="auto" w:fill="FFFFFF"/>
              <w:spacing w:before="0" w:beforeAutospacing="0" w:after="0" w:afterAutospacing="0"/>
              <w:jc w:val="both"/>
              <w:rPr>
                <w:rFonts w:eastAsia="SimSun"/>
                <w:lang w:val="uk-UA"/>
              </w:rPr>
            </w:pPr>
          </w:p>
        </w:tc>
      </w:tr>
      <w:tr w:rsidR="00B413F2" w:rsidRPr="000A74B5" w14:paraId="2D9F4DDD" w14:textId="77777777" w:rsidTr="00637F14">
        <w:tc>
          <w:tcPr>
            <w:tcW w:w="325" w:type="pct"/>
            <w:gridSpan w:val="2"/>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954" w:type="pct"/>
            <w:shd w:val="clear" w:color="auto" w:fill="FFFFFF"/>
            <w:hideMark/>
          </w:tcPr>
          <w:p w14:paraId="57D41C6A" w14:textId="411294FC" w:rsidR="00B413F2" w:rsidRPr="00B413F2" w:rsidRDefault="00B413F2" w:rsidP="00AF53C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F53CD">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720" w:type="pct"/>
            <w:shd w:val="clear" w:color="auto" w:fill="FFFFFF"/>
            <w:hideMark/>
          </w:tcPr>
          <w:p w14:paraId="7F52FC20" w14:textId="317EC0F0" w:rsidR="00B413F2" w:rsidRPr="00B413F2" w:rsidRDefault="007071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637F14">
        <w:tc>
          <w:tcPr>
            <w:tcW w:w="325" w:type="pct"/>
            <w:gridSpan w:val="2"/>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54"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2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7F14">
        <w:tc>
          <w:tcPr>
            <w:tcW w:w="325" w:type="pct"/>
            <w:gridSpan w:val="2"/>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54"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2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7F14">
        <w:tc>
          <w:tcPr>
            <w:tcW w:w="325" w:type="pct"/>
            <w:gridSpan w:val="2"/>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54"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2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637F14">
        <w:tc>
          <w:tcPr>
            <w:tcW w:w="325" w:type="pct"/>
            <w:gridSpan w:val="2"/>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54"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2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637F14">
        <w:tc>
          <w:tcPr>
            <w:tcW w:w="5000" w:type="pct"/>
            <w:gridSpan w:val="4"/>
            <w:shd w:val="clear" w:color="auto" w:fill="FFFFFF"/>
            <w:hideMark/>
          </w:tcPr>
          <w:p w14:paraId="616DB44E" w14:textId="154B33C4"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604FE7" w14:paraId="36BC55BB" w14:textId="77777777" w:rsidTr="00637F14">
        <w:tc>
          <w:tcPr>
            <w:tcW w:w="198"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2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637F14">
        <w:tc>
          <w:tcPr>
            <w:tcW w:w="198"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72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637F14">
        <w:tc>
          <w:tcPr>
            <w:tcW w:w="5000" w:type="pct"/>
            <w:gridSpan w:val="4"/>
            <w:shd w:val="clear" w:color="auto" w:fill="FFFFFF"/>
            <w:hideMark/>
          </w:tcPr>
          <w:p w14:paraId="3B42CE17" w14:textId="703D6983" w:rsidR="003775F0" w:rsidRPr="006B604E" w:rsidRDefault="003775F0"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604FE7" w14:paraId="09186380" w14:textId="77777777" w:rsidTr="00637F14">
        <w:tc>
          <w:tcPr>
            <w:tcW w:w="198"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72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0906C15" w14:textId="77777777" w:rsidR="00E105B9" w:rsidRPr="009B115D" w:rsidRDefault="00E105B9" w:rsidP="00E105B9">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 xml:space="preserve">інформації та документи, які </w:t>
            </w:r>
            <w:r>
              <w:rPr>
                <w:rFonts w:ascii="Times New Roman" w:hAnsi="Times New Roman"/>
                <w:sz w:val="24"/>
                <w:szCs w:val="24"/>
                <w:lang w:val="uk-UA" w:eastAsia="ru-RU"/>
              </w:rPr>
              <w:t>зазначаються</w:t>
            </w:r>
            <w:r w:rsidRPr="009B115D">
              <w:rPr>
                <w:rFonts w:ascii="Times New Roman" w:hAnsi="Times New Roman"/>
                <w:sz w:val="24"/>
                <w:szCs w:val="24"/>
                <w:lang w:val="uk-UA" w:eastAsia="ru-RU"/>
              </w:rPr>
              <w:t xml:space="preserve"> у Додатку № 1 до тендерної документації.</w:t>
            </w:r>
          </w:p>
          <w:p w14:paraId="0F8F0945"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D6352E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670B35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8CBC" w14:textId="545C17C5" w:rsidR="003775F0" w:rsidRDefault="00E105B9" w:rsidP="00E10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755BA3">
              <w:rPr>
                <w:rFonts w:ascii="Times New Roman" w:eastAsia="Times New Roman" w:hAnsi="Times New Roman"/>
                <w:sz w:val="24"/>
                <w:szCs w:val="24"/>
                <w:lang w:val="uk-UA" w:eastAsia="ru-RU"/>
              </w:rPr>
              <w:t xml:space="preserve">. </w:t>
            </w:r>
            <w:r w:rsidR="003775F0"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6C2B8B9A"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65D83">
              <w:rPr>
                <w:rFonts w:ascii="Times New Roman" w:eastAsia="Times New Roman" w:hAnsi="Times New Roman"/>
                <w:sz w:val="24"/>
                <w:szCs w:val="24"/>
                <w:lang w:val="uk-UA" w:eastAsia="ru-RU"/>
              </w:rPr>
              <w:t>кваліфікованого або удосконаленого</w:t>
            </w:r>
            <w:r w:rsidRPr="00717447">
              <w:rPr>
                <w:rFonts w:ascii="Times New Roman" w:eastAsia="Times New Roman" w:hAnsi="Times New Roman"/>
                <w:sz w:val="24"/>
                <w:szCs w:val="24"/>
                <w:lang w:val="uk-UA" w:eastAsia="ru-RU"/>
              </w:rPr>
              <w:t xml:space="preserve"> електронного підпису. </w:t>
            </w:r>
          </w:p>
          <w:p w14:paraId="7DBD5579"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bookmarkStart w:id="1" w:name="_Hlk37688954"/>
            <w:r>
              <w:rPr>
                <w:rFonts w:ascii="Times New Roman" w:eastAsia="Times New Roman" w:hAnsi="Times New Roman"/>
                <w:b/>
                <w:bCs/>
                <w:color w:val="000000"/>
                <w:sz w:val="24"/>
                <w:szCs w:val="24"/>
                <w:lang w:val="uk-UA" w:eastAsia="ru-RU"/>
              </w:rPr>
              <w:t>УВАГА!!!</w:t>
            </w:r>
          </w:p>
          <w:p w14:paraId="6384F75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bCs/>
                <w:color w:val="000000"/>
                <w:sz w:val="24"/>
                <w:szCs w:val="24"/>
                <w:lang w:val="uk-UA" w:eastAsia="ru-RU"/>
              </w:rPr>
              <w:t>скан-копій</w:t>
            </w:r>
            <w:proofErr w:type="spellEnd"/>
            <w:r>
              <w:rPr>
                <w:rFonts w:ascii="Times New Roman" w:eastAsia="Times New Roman" w:hAnsi="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7F10E21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1) документи мають бути чіткими та розбірливими для читання; </w:t>
            </w:r>
          </w:p>
          <w:p w14:paraId="45BDD236"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E363D4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1D8C613"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4338A1E"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84651C1"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BB1D12"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b/>
                <w:bCs/>
                <w:color w:val="000000"/>
                <w:sz w:val="24"/>
                <w:szCs w:val="24"/>
                <w:lang w:val="uk-UA" w:eastAsia="ru-RU"/>
              </w:rPr>
              <w:t>засвідчувального</w:t>
            </w:r>
            <w:proofErr w:type="spellEnd"/>
            <w:r>
              <w:rPr>
                <w:rFonts w:ascii="Times New Roman" w:eastAsia="Times New Roman" w:hAnsi="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573214" w14:textId="77777777" w:rsidR="00775509" w:rsidRDefault="00775509" w:rsidP="00775509">
            <w:pPr>
              <w:jc w:val="both"/>
              <w:rPr>
                <w:rFonts w:ascii="Times New Roman" w:eastAsiaTheme="minorHAnsi" w:hAnsi="Times New Roman"/>
                <w:sz w:val="24"/>
                <w:szCs w:val="24"/>
                <w:lang w:val="uk-UA"/>
              </w:rPr>
            </w:pPr>
            <w:r>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8EA61" w14:textId="77777777" w:rsidR="00775509" w:rsidRDefault="00775509" w:rsidP="00775509">
            <w:pPr>
              <w:jc w:val="both"/>
              <w:rPr>
                <w:rFonts w:ascii="Times New Roman" w:hAnsi="Times New Roman"/>
                <w:color w:val="FF0000"/>
                <w:sz w:val="24"/>
                <w:szCs w:val="24"/>
                <w:lang w:val="uk-UA"/>
              </w:rPr>
            </w:pPr>
            <w:r>
              <w:rPr>
                <w:rFonts w:ascii="Times New Roman" w:hAnsi="Times New Roman"/>
                <w:sz w:val="24"/>
                <w:szCs w:val="24"/>
                <w:lang w:val="uk-UA"/>
              </w:rPr>
              <w:t>Кожен учасник має право подати тільки одну тендерну пропозицію</w:t>
            </w:r>
            <w:bookmarkEnd w:id="1"/>
            <w:r>
              <w:rPr>
                <w:rFonts w:ascii="Times New Roman" w:hAnsi="Times New Roman"/>
                <w:sz w:val="24"/>
                <w:szCs w:val="24"/>
                <w:lang w:val="uk-UA"/>
              </w:rPr>
              <w:t>.</w:t>
            </w:r>
          </w:p>
          <w:p w14:paraId="118E8C1D" w14:textId="11B45F29" w:rsidR="00D84B05" w:rsidRPr="00D84B05" w:rsidRDefault="00775509" w:rsidP="00775509">
            <w:pPr>
              <w:spacing w:before="150" w:after="150" w:line="240" w:lineRule="auto"/>
              <w:jc w:val="both"/>
              <w:rPr>
                <w:rFonts w:ascii="Times New Roman" w:eastAsia="Times New Roman" w:hAnsi="Times New Roman"/>
                <w:sz w:val="24"/>
                <w:szCs w:val="24"/>
                <w:lang w:val="uk-UA" w:eastAsia="ru-RU"/>
              </w:rPr>
            </w:pPr>
            <w:r>
              <w:rPr>
                <w:rFonts w:ascii="Times New Roman" w:hAnsi="Times New Roman"/>
                <w:i/>
                <w:color w:val="000000"/>
                <w:sz w:val="20"/>
                <w:szCs w:val="20"/>
                <w:shd w:val="clear" w:color="auto" w:fill="FFFFFF"/>
                <w:lang w:val="uk-UA"/>
              </w:rPr>
              <w:t>У випадку подання учасником більше однієї тендерної пропозиції</w:t>
            </w:r>
            <w:r>
              <w:rPr>
                <w:rFonts w:ascii="Times New Roman" w:eastAsia="Times New Roman" w:hAnsi="Times New Roman"/>
                <w:i/>
                <w:color w:val="000000"/>
                <w:sz w:val="20"/>
                <w:szCs w:val="20"/>
                <w:lang w:val="uk-UA" w:eastAsia="ru-RU"/>
              </w:rPr>
              <w:t>,</w:t>
            </w:r>
            <w:r>
              <w:rPr>
                <w:rFonts w:ascii="Times New Roman" w:eastAsia="Times New Roman" w:hAnsi="Times New Roman"/>
                <w:i/>
                <w:color w:val="FF0000"/>
                <w:sz w:val="20"/>
                <w:szCs w:val="20"/>
                <w:lang w:val="uk-UA" w:eastAsia="ru-RU"/>
              </w:rPr>
              <w:t xml:space="preserve"> </w:t>
            </w:r>
            <w:r>
              <w:rPr>
                <w:rFonts w:ascii="Times New Roman" w:eastAsia="Times New Roman" w:hAnsi="Times New Roman"/>
                <w:i/>
                <w:sz w:val="20"/>
                <w:szCs w:val="20"/>
                <w:lang w:val="uk-UA" w:eastAsia="ru-RU"/>
              </w:rPr>
              <w:t xml:space="preserve">учасник вважається таким, </w:t>
            </w:r>
            <w:r>
              <w:rPr>
                <w:rFonts w:ascii="Times New Roman" w:hAnsi="Times New Roman"/>
                <w:i/>
                <w:sz w:val="20"/>
                <w:szCs w:val="20"/>
                <w:shd w:val="clear" w:color="auto" w:fill="FFFFFF"/>
                <w:lang w:val="uk-UA"/>
              </w:rPr>
              <w:t xml:space="preserve">що не </w:t>
            </w:r>
            <w:r>
              <w:rPr>
                <w:rFonts w:ascii="Times New Roman" w:hAnsi="Times New Roman"/>
                <w:i/>
                <w:color w:val="000000"/>
                <w:sz w:val="20"/>
                <w:szCs w:val="20"/>
                <w:shd w:val="clear" w:color="auto" w:fill="FFFFFF"/>
                <w:lang w:val="uk-UA"/>
              </w:rPr>
              <w:t>відповідає встановленим </w:t>
            </w:r>
            <w:hyperlink r:id="rId7" w:anchor="n1422" w:history="1">
              <w:r>
                <w:rPr>
                  <w:rStyle w:val="a3"/>
                  <w:rFonts w:ascii="Times New Roman" w:hAnsi="Times New Roman"/>
                  <w:i/>
                  <w:color w:val="000000"/>
                  <w:sz w:val="20"/>
                  <w:szCs w:val="20"/>
                  <w:shd w:val="clear" w:color="auto" w:fill="FFFFFF"/>
                  <w:lang w:val="uk-UA"/>
                </w:rPr>
                <w:t>абзацом першим</w:t>
              </w:r>
            </w:hyperlink>
            <w:r>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66A64C0D"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65D83">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637F14">
        <w:tc>
          <w:tcPr>
            <w:tcW w:w="198"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20" w:type="pct"/>
            <w:shd w:val="clear" w:color="auto" w:fill="FFFFFF"/>
            <w:hideMark/>
          </w:tcPr>
          <w:p w14:paraId="02D5C9F2" w14:textId="5572327C" w:rsidR="003775F0" w:rsidRPr="0031344D" w:rsidRDefault="0031344D" w:rsidP="0031344D">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Не </w:t>
            </w:r>
            <w:proofErr w:type="spellStart"/>
            <w:r w:rsidR="00DD032B" w:rsidRPr="00DD032B">
              <w:rPr>
                <w:rFonts w:ascii="Times New Roman" w:eastAsia="Times New Roman" w:hAnsi="Times New Roman"/>
                <w:color w:val="000000"/>
                <w:sz w:val="24"/>
                <w:szCs w:val="24"/>
                <w:lang w:eastAsia="ru-RU"/>
              </w:rPr>
              <w:t>вимагається</w:t>
            </w:r>
            <w:proofErr w:type="spellEnd"/>
            <w:r w:rsidR="00DD032B" w:rsidRPr="00DD032B">
              <w:rPr>
                <w:rFonts w:ascii="Times New Roman" w:eastAsia="Times New Roman" w:hAnsi="Times New Roman"/>
                <w:color w:val="000000"/>
                <w:sz w:val="24"/>
                <w:szCs w:val="24"/>
                <w:lang w:eastAsia="ru-RU"/>
              </w:rPr>
              <w:t>.</w:t>
            </w:r>
          </w:p>
        </w:tc>
      </w:tr>
      <w:tr w:rsidR="003775F0" w:rsidRPr="00604FE7" w14:paraId="43016F64" w14:textId="77777777" w:rsidTr="00637F14">
        <w:tc>
          <w:tcPr>
            <w:tcW w:w="198"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2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604FE7" w14:paraId="5E709B83" w14:textId="77777777" w:rsidTr="00637F14">
        <w:tc>
          <w:tcPr>
            <w:tcW w:w="198"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2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604FE7" w14:paraId="4DF4F253" w14:textId="77777777" w:rsidTr="00637F14">
        <w:tc>
          <w:tcPr>
            <w:tcW w:w="198"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2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098CD829"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E4F83">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637F14">
        <w:tc>
          <w:tcPr>
            <w:tcW w:w="198"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72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604FE7" w14:paraId="68AC178B" w14:textId="77777777" w:rsidTr="00637F14">
        <w:tc>
          <w:tcPr>
            <w:tcW w:w="198"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081" w:type="pct"/>
            <w:gridSpan w:val="2"/>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720" w:type="pct"/>
            <w:shd w:val="clear" w:color="auto" w:fill="FFFFFF"/>
            <w:hideMark/>
          </w:tcPr>
          <w:p w14:paraId="0556A95D" w14:textId="4D8BFBAF" w:rsidR="003775F0" w:rsidRPr="00992A23" w:rsidRDefault="00EB0797" w:rsidP="003775F0">
            <w:pPr>
              <w:spacing w:before="150" w:after="150" w:line="240" w:lineRule="auto"/>
              <w:jc w:val="both"/>
              <w:rPr>
                <w:rFonts w:ascii="Times New Roman" w:eastAsia="Times New Roman" w:hAnsi="Times New Roman"/>
                <w:b/>
                <w:sz w:val="24"/>
                <w:szCs w:val="24"/>
                <w:lang w:val="uk-UA" w:eastAsia="ru-RU"/>
              </w:rPr>
            </w:pPr>
            <w:r w:rsidRPr="00992A23">
              <w:rPr>
                <w:rFonts w:ascii="Times New Roman" w:eastAsia="Times New Roman" w:hAnsi="Times New Roman"/>
                <w:b/>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775F0" w:rsidRPr="00604FE7" w14:paraId="0625A1AD" w14:textId="77777777" w:rsidTr="00637F14">
        <w:tc>
          <w:tcPr>
            <w:tcW w:w="198"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081" w:type="pct"/>
            <w:gridSpan w:val="2"/>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2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604FE7" w14:paraId="124FEEAB" w14:textId="77777777" w:rsidTr="00637F14">
        <w:tc>
          <w:tcPr>
            <w:tcW w:w="198"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081" w:type="pct"/>
            <w:gridSpan w:val="2"/>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20" w:type="pct"/>
            <w:shd w:val="clear" w:color="auto" w:fill="FFFFFF"/>
          </w:tcPr>
          <w:p w14:paraId="68976022" w14:textId="4791F688"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r>
              <w:rPr>
                <w:rFonts w:ascii="Times New Roman" w:hAnsi="Times New Roman"/>
                <w:color w:val="000000" w:themeColor="text1"/>
                <w:sz w:val="24"/>
                <w:szCs w:val="24"/>
                <w:lang w:val="uk-UA"/>
              </w:rPr>
              <w:t>.</w:t>
            </w:r>
          </w:p>
        </w:tc>
      </w:tr>
      <w:tr w:rsidR="003775F0" w:rsidRPr="000A74B5" w14:paraId="1CC2F0CD" w14:textId="77777777" w:rsidTr="00637F14">
        <w:tc>
          <w:tcPr>
            <w:tcW w:w="5000" w:type="pct"/>
            <w:gridSpan w:val="4"/>
            <w:shd w:val="clear" w:color="auto" w:fill="FFFFFF"/>
            <w:hideMark/>
          </w:tcPr>
          <w:p w14:paraId="1F83C255" w14:textId="70B89DA5"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637F14">
        <w:tc>
          <w:tcPr>
            <w:tcW w:w="198"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20" w:type="pct"/>
            <w:shd w:val="clear" w:color="auto" w:fill="FFFFFF"/>
            <w:hideMark/>
          </w:tcPr>
          <w:p w14:paraId="35B6D8E4" w14:textId="6DF3D4B8"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8030F">
              <w:rPr>
                <w:rFonts w:ascii="Times New Roman" w:eastAsia="Times New Roman" w:hAnsi="Times New Roman"/>
                <w:sz w:val="24"/>
                <w:szCs w:val="24"/>
                <w:lang w:val="uk-UA" w:eastAsia="ru-RU"/>
              </w:rPr>
              <w:t xml:space="preserve">: </w:t>
            </w:r>
            <w:r w:rsidR="0009233C">
              <w:rPr>
                <w:rFonts w:ascii="Times New Roman" w:eastAsia="Times New Roman" w:hAnsi="Times New Roman"/>
                <w:sz w:val="24"/>
                <w:szCs w:val="24"/>
                <w:lang w:val="uk-UA" w:eastAsia="ru-RU"/>
              </w:rPr>
              <w:t>0</w:t>
            </w:r>
            <w:r w:rsidR="00D52070">
              <w:rPr>
                <w:rFonts w:ascii="Times New Roman" w:eastAsia="Times New Roman" w:hAnsi="Times New Roman"/>
                <w:sz w:val="24"/>
                <w:szCs w:val="24"/>
                <w:lang w:val="uk-UA" w:eastAsia="ru-RU"/>
              </w:rPr>
              <w:t>4</w:t>
            </w:r>
            <w:r w:rsidR="00F92D48">
              <w:rPr>
                <w:rFonts w:ascii="Times New Roman" w:eastAsia="Times New Roman" w:hAnsi="Times New Roman"/>
                <w:sz w:val="24"/>
                <w:szCs w:val="24"/>
                <w:lang w:val="uk-UA" w:eastAsia="ru-RU"/>
              </w:rPr>
              <w:t xml:space="preserve"> </w:t>
            </w:r>
            <w:r w:rsidR="007A60E8">
              <w:rPr>
                <w:rFonts w:ascii="Times New Roman" w:eastAsia="Times New Roman" w:hAnsi="Times New Roman"/>
                <w:sz w:val="24"/>
                <w:szCs w:val="24"/>
                <w:lang w:val="uk-UA" w:eastAsia="ru-RU"/>
              </w:rPr>
              <w:t>квітня</w:t>
            </w:r>
            <w:r>
              <w:rPr>
                <w:rFonts w:ascii="Times New Roman" w:eastAsia="Times New Roman" w:hAnsi="Times New Roman"/>
                <w:sz w:val="24"/>
                <w:szCs w:val="24"/>
                <w:lang w:val="uk-UA" w:eastAsia="ru-RU"/>
              </w:rPr>
              <w:t xml:space="preserve"> 202</w:t>
            </w:r>
            <w:r w:rsidR="00DC763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637F14">
        <w:tc>
          <w:tcPr>
            <w:tcW w:w="198"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20" w:type="pct"/>
            <w:shd w:val="clear" w:color="auto" w:fill="FFFFFF"/>
            <w:hideMark/>
          </w:tcPr>
          <w:p w14:paraId="5CEB7F0E" w14:textId="672DD288"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r w:rsidR="00930C1B" w:rsidRPr="00930C1B">
              <w:rPr>
                <w:rFonts w:ascii="Times New Roman" w:eastAsia="Times New Roman" w:hAnsi="Times New Roman"/>
                <w:sz w:val="24"/>
                <w:szCs w:val="24"/>
                <w:lang w:val="uk-UA" w:eastAsia="ru-RU"/>
              </w:rPr>
              <w:t>після закінчення строку для подання тендерних пропозицій</w:t>
            </w:r>
            <w:r w:rsidRPr="00016C3E">
              <w:rPr>
                <w:rFonts w:ascii="Times New Roman" w:eastAsia="Times New Roman" w:hAnsi="Times New Roman"/>
                <w:sz w:val="24"/>
                <w:szCs w:val="24"/>
                <w:lang w:val="uk-UA" w:eastAsia="ru-RU"/>
              </w:rPr>
              <w:t>.</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637F14">
        <w:tc>
          <w:tcPr>
            <w:tcW w:w="5000" w:type="pct"/>
            <w:gridSpan w:val="4"/>
            <w:shd w:val="clear" w:color="auto" w:fill="FFFFFF"/>
            <w:hideMark/>
          </w:tcPr>
          <w:p w14:paraId="68B9698F" w14:textId="70232B0B"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Оцінка тендерної пропозиції</w:t>
            </w:r>
          </w:p>
        </w:tc>
      </w:tr>
      <w:tr w:rsidR="003775F0" w:rsidRPr="00352CE5" w14:paraId="14668CBE" w14:textId="77777777" w:rsidTr="00637F14">
        <w:tc>
          <w:tcPr>
            <w:tcW w:w="198"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720" w:type="pct"/>
            <w:shd w:val="clear" w:color="auto" w:fill="FFFFFF"/>
            <w:vAlign w:val="center"/>
            <w:hideMark/>
          </w:tcPr>
          <w:p w14:paraId="143D2B9F"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09BF3E38"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8C29A74" w14:textId="65592280"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w:t>
            </w:r>
            <w:r w:rsidR="00CE12A9">
              <w:rPr>
                <w:rFonts w:ascii="Times New Roman" w:eastAsia="Times New Roman" w:hAnsi="Times New Roman"/>
                <w:color w:val="000000"/>
                <w:sz w:val="24"/>
                <w:szCs w:val="24"/>
                <w:lang w:val="uk-UA" w:eastAsia="ru-RU"/>
              </w:rPr>
              <w:t xml:space="preserve"> документації</w:t>
            </w:r>
            <w:r>
              <w:rPr>
                <w:rFonts w:ascii="Times New Roman" w:eastAsia="Times New Roman" w:hAnsi="Times New Roman"/>
                <w:color w:val="000000"/>
                <w:sz w:val="24"/>
                <w:szCs w:val="24"/>
                <w:lang w:val="uk-UA" w:eastAsia="ru-RU"/>
              </w:rPr>
              <w:t>.</w:t>
            </w:r>
          </w:p>
          <w:p w14:paraId="2CABF8C8"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C73E3AD"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64F24793"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79D98817" w14:textId="47187C4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DA6CA0">
              <w:rPr>
                <w:rFonts w:ascii="Times New Roman" w:hAnsi="Times New Roman"/>
                <w:b/>
                <w:bCs/>
                <w:sz w:val="24"/>
                <w:szCs w:val="24"/>
                <w:lang w:val="uk-UA"/>
              </w:rPr>
              <w:t>послугу</w:t>
            </w:r>
            <w:r>
              <w:rPr>
                <w:rFonts w:ascii="Times New Roman" w:hAnsi="Times New Roman"/>
                <w:sz w:val="24"/>
                <w:szCs w:val="24"/>
                <w:lang w:val="uk-UA"/>
              </w:rPr>
              <w:t xml:space="preserve">, що він пропонує </w:t>
            </w:r>
            <w:r w:rsidR="00DA6CA0">
              <w:rPr>
                <w:rFonts w:ascii="Times New Roman" w:hAnsi="Times New Roman"/>
                <w:b/>
                <w:bCs/>
                <w:sz w:val="24"/>
                <w:szCs w:val="24"/>
                <w:lang w:val="uk-UA"/>
              </w:rPr>
              <w:t xml:space="preserve">надати </w:t>
            </w:r>
            <w:r>
              <w:rPr>
                <w:rFonts w:ascii="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6CA0">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14:paraId="2946D098"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BD22F9"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37670"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D136134"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BBDEFD" w14:textId="38E9A68E" w:rsidR="003775F0" w:rsidRPr="00CE12A9" w:rsidRDefault="003775F0" w:rsidP="00CE12A9">
            <w:pPr>
              <w:spacing w:after="0" w:line="240" w:lineRule="auto"/>
              <w:jc w:val="both"/>
              <w:rPr>
                <w:rFonts w:ascii="Times New Roman" w:hAnsi="Times New Roman"/>
                <w:sz w:val="24"/>
                <w:szCs w:val="24"/>
                <w:lang w:val="uk-UA"/>
              </w:rPr>
            </w:pPr>
          </w:p>
        </w:tc>
      </w:tr>
      <w:tr w:rsidR="003775F0" w:rsidRPr="00604FE7" w14:paraId="42EC9EE9" w14:textId="77777777" w:rsidTr="00637F14">
        <w:tc>
          <w:tcPr>
            <w:tcW w:w="198"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2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604FE7" w14:paraId="48906851" w14:textId="77777777" w:rsidTr="00637F14">
        <w:tc>
          <w:tcPr>
            <w:tcW w:w="198"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2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637F14">
        <w:tc>
          <w:tcPr>
            <w:tcW w:w="5000" w:type="pct"/>
            <w:gridSpan w:val="4"/>
            <w:shd w:val="clear" w:color="auto" w:fill="FFFFFF"/>
            <w:hideMark/>
          </w:tcPr>
          <w:p w14:paraId="66FEB77A" w14:textId="4E0FE686" w:rsidR="003775F0" w:rsidRPr="0068752A" w:rsidRDefault="003775F0" w:rsidP="0068752A">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8752A">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3775F0" w:rsidRPr="000A74B5" w14:paraId="23EBBBD3" w14:textId="77777777" w:rsidTr="00637F14">
        <w:tc>
          <w:tcPr>
            <w:tcW w:w="198"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72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637F14">
        <w:tc>
          <w:tcPr>
            <w:tcW w:w="198"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720" w:type="pct"/>
            <w:shd w:val="clear" w:color="auto" w:fill="FFFFFF"/>
            <w:hideMark/>
          </w:tcPr>
          <w:p w14:paraId="133729D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3775F0" w14:paraId="4A55A7D6" w14:textId="77777777" w:rsidTr="00637F14">
        <w:tc>
          <w:tcPr>
            <w:tcW w:w="198"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2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F0948E5"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w:t>
            </w:r>
            <w:r w:rsidR="0041634C">
              <w:rPr>
                <w:rFonts w:ascii="Times New Roman" w:eastAsia="Times New Roman" w:hAnsi="Times New Roman"/>
                <w:color w:val="000000"/>
                <w:sz w:val="24"/>
                <w:szCs w:val="24"/>
                <w:lang w:val="uk-UA" w:eastAsia="ru-RU"/>
              </w:rPr>
              <w:t xml:space="preserve">вору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637F14">
        <w:tc>
          <w:tcPr>
            <w:tcW w:w="198"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2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BBA893E" w14:textId="0D818567" w:rsidR="003775F0" w:rsidRPr="00105394" w:rsidRDefault="003775F0" w:rsidP="00CE12A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w:t>
            </w:r>
            <w:r w:rsidR="00CE12A9">
              <w:rPr>
                <w:rFonts w:ascii="Times New Roman" w:eastAsia="Times New Roman" w:hAnsi="Times New Roman"/>
                <w:sz w:val="24"/>
                <w:szCs w:val="24"/>
                <w:lang w:val="uk-UA" w:eastAsia="ru-RU"/>
              </w:rPr>
              <w:t>від змісту тендерної пропозиції.</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9"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637F14">
        <w:tc>
          <w:tcPr>
            <w:tcW w:w="198"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2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637F14">
        <w:tc>
          <w:tcPr>
            <w:tcW w:w="198"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720" w:type="pct"/>
            <w:shd w:val="clear" w:color="auto" w:fill="FFFFFF"/>
            <w:hideMark/>
          </w:tcPr>
          <w:p w14:paraId="59880A40" w14:textId="0538802E" w:rsidR="003775F0" w:rsidRPr="00095633" w:rsidRDefault="00095633" w:rsidP="003775F0">
            <w:pPr>
              <w:spacing w:before="150" w:after="150" w:line="240" w:lineRule="auto"/>
              <w:rPr>
                <w:rFonts w:ascii="Times New Roman" w:eastAsia="Times New Roman" w:hAnsi="Times New Roman"/>
                <w:b/>
                <w:sz w:val="24"/>
                <w:szCs w:val="24"/>
                <w:u w:val="single"/>
                <w:lang w:val="uk-UA" w:eastAsia="ru-RU"/>
              </w:rPr>
            </w:pPr>
            <w:r w:rsidRPr="00095633">
              <w:rPr>
                <w:rFonts w:ascii="Times New Roman" w:eastAsia="Times New Roman" w:hAnsi="Times New Roman"/>
                <w:b/>
                <w:sz w:val="24"/>
                <w:szCs w:val="24"/>
                <w:u w:val="single"/>
                <w:lang w:val="uk-UA" w:eastAsia="ru-RU"/>
              </w:rPr>
              <w:t>В</w:t>
            </w:r>
            <w:r w:rsidR="003775F0" w:rsidRPr="00095633">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6188B8F2"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F13E68">
              <w:rPr>
                <w:rFonts w:ascii="Times New Roman" w:eastAsia="Times New Roman" w:hAnsi="Times New Roman"/>
                <w:sz w:val="24"/>
                <w:szCs w:val="24"/>
                <w:lang w:val="uk-UA" w:eastAsia="ru-RU"/>
              </w:rPr>
              <w:t xml:space="preserve"> </w:t>
            </w:r>
            <w:r w:rsidR="00095633">
              <w:rPr>
                <w:rFonts w:ascii="Times New Roman" w:eastAsia="Times New Roman" w:hAnsi="Times New Roman"/>
                <w:sz w:val="24"/>
                <w:szCs w:val="24"/>
                <w:lang w:val="uk-UA" w:eastAsia="ru-RU"/>
              </w:rPr>
              <w:t xml:space="preserve">5 </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03BED117"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17AF8FA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526755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6FC8615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8041A3">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1C94988" w14:textId="14518E17" w:rsidR="00B060FF" w:rsidRPr="0019075E" w:rsidRDefault="00F84E59" w:rsidP="0019075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sectPr w:rsidR="00B060FF" w:rsidRPr="0019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426C7"/>
    <w:multiLevelType w:val="hybridMultilevel"/>
    <w:tmpl w:val="BC4072A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9207B"/>
    <w:multiLevelType w:val="hybridMultilevel"/>
    <w:tmpl w:val="A8B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8"/>
  </w:num>
  <w:num w:numId="7">
    <w:abstractNumId w:val="8"/>
  </w:num>
  <w:num w:numId="8">
    <w:abstractNumId w:val="30"/>
  </w:num>
  <w:num w:numId="9">
    <w:abstractNumId w:val="22"/>
  </w:num>
  <w:num w:numId="10">
    <w:abstractNumId w:val="31"/>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9"/>
  </w:num>
  <w:num w:numId="22">
    <w:abstractNumId w:val="21"/>
  </w:num>
  <w:num w:numId="23">
    <w:abstractNumId w:val="11"/>
  </w:num>
  <w:num w:numId="24">
    <w:abstractNumId w:val="33"/>
  </w:num>
  <w:num w:numId="25">
    <w:abstractNumId w:val="0"/>
  </w:num>
  <w:num w:numId="26">
    <w:abstractNumId w:val="13"/>
  </w:num>
  <w:num w:numId="27">
    <w:abstractNumId w:val="32"/>
  </w:num>
  <w:num w:numId="28">
    <w:abstractNumId w:val="27"/>
  </w:num>
  <w:num w:numId="29">
    <w:abstractNumId w:val="19"/>
  </w:num>
  <w:num w:numId="30">
    <w:abstractNumId w:val="23"/>
  </w:num>
  <w:num w:numId="31">
    <w:abstractNumId w:val="12"/>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577D"/>
    <w:rsid w:val="0009233C"/>
    <w:rsid w:val="00095633"/>
    <w:rsid w:val="000A5534"/>
    <w:rsid w:val="000A74B5"/>
    <w:rsid w:val="00105394"/>
    <w:rsid w:val="00164776"/>
    <w:rsid w:val="00180555"/>
    <w:rsid w:val="00185CD0"/>
    <w:rsid w:val="0019075E"/>
    <w:rsid w:val="00194B73"/>
    <w:rsid w:val="001B5F21"/>
    <w:rsid w:val="001C3C20"/>
    <w:rsid w:val="00244F88"/>
    <w:rsid w:val="002550B0"/>
    <w:rsid w:val="00262241"/>
    <w:rsid w:val="002626D5"/>
    <w:rsid w:val="002768B6"/>
    <w:rsid w:val="00311809"/>
    <w:rsid w:val="00312EED"/>
    <w:rsid w:val="0031344D"/>
    <w:rsid w:val="00337594"/>
    <w:rsid w:val="0035513C"/>
    <w:rsid w:val="003775F0"/>
    <w:rsid w:val="00385DF5"/>
    <w:rsid w:val="003A00C6"/>
    <w:rsid w:val="003D67EF"/>
    <w:rsid w:val="0041634C"/>
    <w:rsid w:val="00427DE2"/>
    <w:rsid w:val="004411EC"/>
    <w:rsid w:val="004A2161"/>
    <w:rsid w:val="004B3D0D"/>
    <w:rsid w:val="004C22C5"/>
    <w:rsid w:val="004D0090"/>
    <w:rsid w:val="004D2E90"/>
    <w:rsid w:val="004E52BB"/>
    <w:rsid w:val="00502948"/>
    <w:rsid w:val="00520942"/>
    <w:rsid w:val="00523D79"/>
    <w:rsid w:val="00537068"/>
    <w:rsid w:val="005C7632"/>
    <w:rsid w:val="005D29D0"/>
    <w:rsid w:val="00601FFA"/>
    <w:rsid w:val="00604FE7"/>
    <w:rsid w:val="00621D5A"/>
    <w:rsid w:val="00624182"/>
    <w:rsid w:val="0063244A"/>
    <w:rsid w:val="00637F14"/>
    <w:rsid w:val="0067548D"/>
    <w:rsid w:val="0068071F"/>
    <w:rsid w:val="006863B7"/>
    <w:rsid w:val="0068752A"/>
    <w:rsid w:val="006930DF"/>
    <w:rsid w:val="006B604E"/>
    <w:rsid w:val="006B6135"/>
    <w:rsid w:val="006D0931"/>
    <w:rsid w:val="006D666D"/>
    <w:rsid w:val="006F252D"/>
    <w:rsid w:val="006F3E54"/>
    <w:rsid w:val="00703552"/>
    <w:rsid w:val="00707138"/>
    <w:rsid w:val="007157DD"/>
    <w:rsid w:val="00717447"/>
    <w:rsid w:val="0072343A"/>
    <w:rsid w:val="007509E9"/>
    <w:rsid w:val="00755BA3"/>
    <w:rsid w:val="007654DA"/>
    <w:rsid w:val="00775509"/>
    <w:rsid w:val="00796D4E"/>
    <w:rsid w:val="007A2C33"/>
    <w:rsid w:val="007A34BA"/>
    <w:rsid w:val="007A60E8"/>
    <w:rsid w:val="007D22E6"/>
    <w:rsid w:val="007F1012"/>
    <w:rsid w:val="008041A3"/>
    <w:rsid w:val="00877A5C"/>
    <w:rsid w:val="00897BF9"/>
    <w:rsid w:val="008A42A0"/>
    <w:rsid w:val="008B307D"/>
    <w:rsid w:val="008F54BC"/>
    <w:rsid w:val="008F7BC0"/>
    <w:rsid w:val="00930C1B"/>
    <w:rsid w:val="00956D08"/>
    <w:rsid w:val="00992A23"/>
    <w:rsid w:val="009A242A"/>
    <w:rsid w:val="009A7F70"/>
    <w:rsid w:val="009C75F6"/>
    <w:rsid w:val="00A17FBD"/>
    <w:rsid w:val="00A67393"/>
    <w:rsid w:val="00A91173"/>
    <w:rsid w:val="00AA6430"/>
    <w:rsid w:val="00AC2592"/>
    <w:rsid w:val="00AD069D"/>
    <w:rsid w:val="00AF53CD"/>
    <w:rsid w:val="00B060FF"/>
    <w:rsid w:val="00B413F2"/>
    <w:rsid w:val="00BD54BF"/>
    <w:rsid w:val="00BE4F83"/>
    <w:rsid w:val="00C07DFA"/>
    <w:rsid w:val="00C42478"/>
    <w:rsid w:val="00C67EE8"/>
    <w:rsid w:val="00C80219"/>
    <w:rsid w:val="00C961FE"/>
    <w:rsid w:val="00CB1DF9"/>
    <w:rsid w:val="00CB7CD4"/>
    <w:rsid w:val="00CE12A9"/>
    <w:rsid w:val="00CE7D1C"/>
    <w:rsid w:val="00D0542B"/>
    <w:rsid w:val="00D15F4A"/>
    <w:rsid w:val="00D24F3A"/>
    <w:rsid w:val="00D52070"/>
    <w:rsid w:val="00D63F7D"/>
    <w:rsid w:val="00D8030F"/>
    <w:rsid w:val="00D84B05"/>
    <w:rsid w:val="00D94AB5"/>
    <w:rsid w:val="00DA6CA0"/>
    <w:rsid w:val="00DC0363"/>
    <w:rsid w:val="00DC7632"/>
    <w:rsid w:val="00DD032B"/>
    <w:rsid w:val="00DF7022"/>
    <w:rsid w:val="00E01EE1"/>
    <w:rsid w:val="00E105B9"/>
    <w:rsid w:val="00E1119C"/>
    <w:rsid w:val="00E435D8"/>
    <w:rsid w:val="00E55C9E"/>
    <w:rsid w:val="00E65A65"/>
    <w:rsid w:val="00E743A1"/>
    <w:rsid w:val="00E94849"/>
    <w:rsid w:val="00EA2F86"/>
    <w:rsid w:val="00EB0797"/>
    <w:rsid w:val="00F13E68"/>
    <w:rsid w:val="00F424BC"/>
    <w:rsid w:val="00F65D83"/>
    <w:rsid w:val="00F84E59"/>
    <w:rsid w:val="00F90D0F"/>
    <w:rsid w:val="00F92D48"/>
    <w:rsid w:val="00FA1CC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1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0468102">
      <w:bodyDiv w:val="1"/>
      <w:marLeft w:val="0"/>
      <w:marRight w:val="0"/>
      <w:marTop w:val="0"/>
      <w:marBottom w:val="0"/>
      <w:divBdr>
        <w:top w:val="none" w:sz="0" w:space="0" w:color="auto"/>
        <w:left w:val="none" w:sz="0" w:space="0" w:color="auto"/>
        <w:bottom w:val="none" w:sz="0" w:space="0" w:color="auto"/>
        <w:right w:val="none" w:sz="0" w:space="0" w:color="auto"/>
      </w:divBdr>
    </w:div>
    <w:div w:id="1355770647">
      <w:bodyDiv w:val="1"/>
      <w:marLeft w:val="0"/>
      <w:marRight w:val="0"/>
      <w:marTop w:val="0"/>
      <w:marBottom w:val="0"/>
      <w:divBdr>
        <w:top w:val="none" w:sz="0" w:space="0" w:color="auto"/>
        <w:left w:val="none" w:sz="0" w:space="0" w:color="auto"/>
        <w:bottom w:val="none" w:sz="0" w:space="0" w:color="auto"/>
        <w:right w:val="none" w:sz="0" w:space="0" w:color="auto"/>
      </w:divBdr>
    </w:div>
    <w:div w:id="1421096019">
      <w:bodyDiv w:val="1"/>
      <w:marLeft w:val="0"/>
      <w:marRight w:val="0"/>
      <w:marTop w:val="0"/>
      <w:marBottom w:val="0"/>
      <w:divBdr>
        <w:top w:val="none" w:sz="0" w:space="0" w:color="auto"/>
        <w:left w:val="none" w:sz="0" w:space="0" w:color="auto"/>
        <w:bottom w:val="none" w:sz="0" w:space="0" w:color="auto"/>
        <w:right w:val="none" w:sz="0" w:space="0" w:color="auto"/>
      </w:divBdr>
    </w:div>
    <w:div w:id="1474177357">
      <w:bodyDiv w:val="1"/>
      <w:marLeft w:val="0"/>
      <w:marRight w:val="0"/>
      <w:marTop w:val="0"/>
      <w:marBottom w:val="0"/>
      <w:divBdr>
        <w:top w:val="none" w:sz="0" w:space="0" w:color="auto"/>
        <w:left w:val="none" w:sz="0" w:space="0" w:color="auto"/>
        <w:bottom w:val="none" w:sz="0" w:space="0" w:color="auto"/>
        <w:right w:val="none" w:sz="0" w:space="0" w:color="auto"/>
      </w:divBdr>
    </w:div>
    <w:div w:id="1712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pom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4DD9-F6E0-4B20-A8F8-F0FBC088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30719</Words>
  <Characters>17510</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2023-03-01T13:47:00Z</dcterms:created>
  <dcterms:modified xsi:type="dcterms:W3CDTF">2023-03-30T11:39:00Z</dcterms:modified>
</cp:coreProperties>
</file>