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BB701A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BB701A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BB701A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BB701A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B701A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BB701A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BB701A" w:rsidRDefault="008F24B1" w:rsidP="001D07B7">
      <w:pPr>
        <w:spacing w:after="120" w:line="240" w:lineRule="auto"/>
        <w:jc w:val="both"/>
        <w:rPr>
          <w:rFonts w:ascii="Times New Roman" w:hAnsi="Times New Roman" w:cs="Times New Roman"/>
          <w:b/>
          <w:iCs/>
        </w:rPr>
      </w:pPr>
      <w:r w:rsidRPr="00BB701A">
        <w:rPr>
          <w:rFonts w:ascii="Times New Roman" w:hAnsi="Times New Roman" w:cs="Times New Roman"/>
          <w:b/>
          <w:bCs/>
        </w:rPr>
        <w:t>1</w:t>
      </w:r>
      <w:r w:rsidRPr="00BB701A">
        <w:rPr>
          <w:rFonts w:ascii="Times New Roman" w:hAnsi="Times New Roman" w:cs="Times New Roman"/>
        </w:rPr>
        <w:t xml:space="preserve">. Найменування предмета закупівлі - </w:t>
      </w:r>
      <w:r w:rsidRPr="00BB701A">
        <w:rPr>
          <w:rFonts w:ascii="Times New Roman" w:hAnsi="Times New Roman" w:cs="Times New Roman"/>
          <w:b/>
          <w:iCs/>
        </w:rPr>
        <w:t xml:space="preserve">ДК 021:2015 </w:t>
      </w:r>
      <w:r w:rsidR="001442AA" w:rsidRPr="001442AA">
        <w:rPr>
          <w:rFonts w:ascii="Times New Roman" w:hAnsi="Times New Roman" w:cs="Times New Roman"/>
          <w:b/>
          <w:iCs/>
        </w:rPr>
        <w:t>15220000-6: Риба, рибне філе та інше м’ясо риби морожені</w:t>
      </w:r>
      <w:r w:rsidRPr="00BB701A">
        <w:rPr>
          <w:rFonts w:ascii="Times New Roman" w:hAnsi="Times New Roman" w:cs="Times New Roman"/>
          <w:b/>
          <w:iCs/>
        </w:rPr>
        <w:t xml:space="preserve"> (</w:t>
      </w:r>
      <w:r w:rsidR="001D07B7" w:rsidRPr="00BB701A">
        <w:rPr>
          <w:rFonts w:ascii="Times New Roman" w:hAnsi="Times New Roman" w:cs="Times New Roman"/>
          <w:b/>
          <w:iCs/>
        </w:rPr>
        <w:t>Хек свіжоморожений</w:t>
      </w:r>
      <w:r w:rsidRPr="00BB701A">
        <w:rPr>
          <w:rFonts w:ascii="Times New Roman" w:hAnsi="Times New Roman" w:cs="Times New Roman"/>
          <w:b/>
          <w:iCs/>
        </w:rPr>
        <w:t>).</w:t>
      </w:r>
      <w:r w:rsidR="001D07B7" w:rsidRPr="00BB701A">
        <w:rPr>
          <w:rFonts w:ascii="Times New Roman" w:hAnsi="Times New Roman" w:cs="Times New Roman"/>
          <w:b/>
          <w:iCs/>
        </w:rPr>
        <w:t xml:space="preserve">  </w:t>
      </w:r>
    </w:p>
    <w:p w:rsidR="008F24B1" w:rsidRPr="00BB701A" w:rsidRDefault="008F24B1" w:rsidP="001D07B7">
      <w:pPr>
        <w:spacing w:after="120"/>
        <w:rPr>
          <w:rFonts w:ascii="Times New Roman" w:hAnsi="Times New Roman" w:cs="Times New Roman"/>
          <w:b/>
        </w:rPr>
      </w:pPr>
      <w:r w:rsidRPr="00BB701A">
        <w:rPr>
          <w:rFonts w:ascii="Times New Roman" w:hAnsi="Times New Roman" w:cs="Times New Roman"/>
          <w:b/>
          <w:bCs/>
        </w:rPr>
        <w:t>2</w:t>
      </w:r>
      <w:r w:rsidRPr="00BB701A">
        <w:rPr>
          <w:rFonts w:ascii="Times New Roman" w:hAnsi="Times New Roman" w:cs="Times New Roman"/>
        </w:rPr>
        <w:t xml:space="preserve">. Загальний обсяг закупівлі товару: </w:t>
      </w:r>
      <w:r w:rsidR="001D07B7" w:rsidRPr="00BB701A">
        <w:rPr>
          <w:rFonts w:ascii="Times New Roman" w:hAnsi="Times New Roman" w:cs="Times New Roman"/>
        </w:rPr>
        <w:t>1317 кг.</w:t>
      </w:r>
    </w:p>
    <w:p w:rsidR="00C10612" w:rsidRPr="00BB701A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  <w:b/>
          <w:bCs/>
        </w:rPr>
        <w:t>3</w:t>
      </w:r>
      <w:r w:rsidRPr="00BB701A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BB701A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BB701A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BB701A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BB701A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  <w:bookmarkStart w:id="0" w:name="_GoBack"/>
      <w:bookmarkEnd w:id="0"/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ліцей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ліцей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Садова</w:t>
      </w:r>
      <w:proofErr w:type="spellEnd"/>
      <w:r w:rsidRPr="00BB701A">
        <w:rPr>
          <w:rFonts w:ascii="Times New Roman" w:eastAsia="Times New Roman" w:hAnsi="Times New Roman"/>
        </w:rPr>
        <w:t>, 11;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Центральна</w:t>
      </w:r>
      <w:proofErr w:type="spellEnd"/>
      <w:r w:rsidRPr="00BB701A">
        <w:rPr>
          <w:rFonts w:ascii="Times New Roman" w:eastAsia="Times New Roman" w:hAnsi="Times New Roman"/>
        </w:rPr>
        <w:t>, 37;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Олександра</w:t>
      </w:r>
      <w:proofErr w:type="spellEnd"/>
      <w:r w:rsidRPr="00BB701A">
        <w:rPr>
          <w:rFonts w:ascii="Times New Roman" w:eastAsia="Times New Roman" w:hAnsi="Times New Roman"/>
        </w:rPr>
        <w:t xml:space="preserve">  </w:t>
      </w:r>
      <w:proofErr w:type="spellStart"/>
      <w:r w:rsidRPr="00BB701A">
        <w:rPr>
          <w:rFonts w:ascii="Times New Roman" w:eastAsia="Times New Roman" w:hAnsi="Times New Roman"/>
        </w:rPr>
        <w:t>Чеського</w:t>
      </w:r>
      <w:proofErr w:type="spellEnd"/>
      <w:r w:rsidRPr="00BB701A">
        <w:rPr>
          <w:rFonts w:ascii="Times New Roman" w:eastAsia="Times New Roman" w:hAnsi="Times New Roman"/>
        </w:rPr>
        <w:t>, 13;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ліцей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BB701A">
        <w:rPr>
          <w:rFonts w:ascii="Times New Roman" w:eastAsia="Times New Roman" w:hAnsi="Times New Roman"/>
          <w:lang w:val="ru-RU"/>
        </w:rPr>
        <w:t>рокі</w:t>
      </w:r>
      <w:proofErr w:type="gramStart"/>
      <w:r w:rsidRPr="00BB701A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BB701A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Миру</w:t>
      </w:r>
      <w:proofErr w:type="spellEnd"/>
      <w:r w:rsidRPr="00BB701A">
        <w:rPr>
          <w:rFonts w:ascii="Times New Roman" w:eastAsia="Times New Roman" w:hAnsi="Times New Roman"/>
        </w:rPr>
        <w:t>, 35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Виноградна</w:t>
      </w:r>
      <w:proofErr w:type="spellEnd"/>
      <w:r w:rsidRPr="00BB701A">
        <w:rPr>
          <w:rFonts w:ascii="Times New Roman" w:eastAsia="Times New Roman" w:hAnsi="Times New Roman"/>
        </w:rPr>
        <w:t>, 3 В;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ліцей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Шкільна</w:t>
      </w:r>
      <w:proofErr w:type="spellEnd"/>
      <w:r w:rsidRPr="00BB701A">
        <w:rPr>
          <w:rFonts w:ascii="Times New Roman" w:eastAsia="Times New Roman" w:hAnsi="Times New Roman"/>
        </w:rPr>
        <w:t>, 162;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Центральна</w:t>
      </w:r>
      <w:proofErr w:type="spellEnd"/>
      <w:r w:rsidRPr="00BB701A">
        <w:rPr>
          <w:rFonts w:ascii="Times New Roman" w:eastAsia="Times New Roman" w:hAnsi="Times New Roman"/>
        </w:rPr>
        <w:t>, 60</w:t>
      </w:r>
    </w:p>
    <w:p w:rsidR="00C10612" w:rsidRPr="00BB701A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BB701A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BB701A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BB701A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BB701A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BB701A">
        <w:rPr>
          <w:rFonts w:ascii="Times New Roman" w:eastAsia="Times New Roman" w:hAnsi="Times New Roman"/>
          <w:lang w:val="ru-RU"/>
        </w:rPr>
        <w:t>вул</w:t>
      </w:r>
      <w:proofErr w:type="spellEnd"/>
      <w:r w:rsidRPr="00BB701A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BB701A">
        <w:rPr>
          <w:rFonts w:ascii="Times New Roman" w:eastAsia="Times New Roman" w:hAnsi="Times New Roman"/>
        </w:rPr>
        <w:t>Миру</w:t>
      </w:r>
      <w:proofErr w:type="spellEnd"/>
      <w:r w:rsidRPr="00BB701A">
        <w:rPr>
          <w:rFonts w:ascii="Times New Roman" w:eastAsia="Times New Roman" w:hAnsi="Times New Roman"/>
        </w:rPr>
        <w:t>, 52 А</w:t>
      </w:r>
    </w:p>
    <w:p w:rsidR="008F24B1" w:rsidRPr="00BB701A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BB701A">
        <w:rPr>
          <w:rFonts w:ascii="Times New Roman" w:hAnsi="Times New Roman" w:cs="Times New Roman"/>
          <w:b/>
          <w:bCs/>
        </w:rPr>
        <w:t>4</w:t>
      </w:r>
      <w:r w:rsidRPr="00BB701A">
        <w:rPr>
          <w:rFonts w:ascii="Times New Roman" w:hAnsi="Times New Roman" w:cs="Times New Roman"/>
        </w:rPr>
        <w:t xml:space="preserve">. Доставка товару  - </w:t>
      </w:r>
      <w:r w:rsidRPr="00BB701A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BB701A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BB701A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 xml:space="preserve">5. Відносини між Замовником та учасником регулюються наступними нормативно правовими актами: </w:t>
      </w:r>
    </w:p>
    <w:p w:rsidR="00BC0020" w:rsidRPr="00BB701A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>-</w:t>
      </w:r>
      <w:r w:rsidR="00BC0020" w:rsidRPr="00BB701A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BB701A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>-</w:t>
      </w:r>
      <w:r w:rsidR="00BC0020" w:rsidRPr="00BB701A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BB701A">
        <w:rPr>
          <w:rFonts w:ascii="Times New Roman" w:hAnsi="Times New Roman" w:cs="Times New Roman"/>
        </w:rPr>
        <w:t>закупівель</w:t>
      </w:r>
      <w:proofErr w:type="spellEnd"/>
      <w:r w:rsidR="00BC0020" w:rsidRPr="00BB701A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BB701A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>-</w:t>
      </w:r>
      <w:r w:rsidR="00BC0020" w:rsidRPr="00BB701A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Pr="00BB701A" w:rsidRDefault="00BD77F7" w:rsidP="008F24B1">
      <w:pPr>
        <w:rPr>
          <w:rFonts w:ascii="Times New Roman" w:hAnsi="Times New Roman" w:cs="Times New Roman"/>
          <w:b/>
          <w:bCs/>
          <w:iCs/>
        </w:rPr>
      </w:pPr>
    </w:p>
    <w:p w:rsidR="008F24B1" w:rsidRPr="00BB701A" w:rsidRDefault="00BC0020" w:rsidP="008F24B1">
      <w:pPr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  <w:b/>
          <w:bCs/>
          <w:iCs/>
        </w:rPr>
        <w:t>6</w:t>
      </w:r>
      <w:r w:rsidR="008F24B1" w:rsidRPr="00BB701A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BB701A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Pr="00BB701A" w:rsidRDefault="00C10612" w:rsidP="00C10612">
      <w:pPr>
        <w:ind w:firstLine="708"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 xml:space="preserve">1) Якість продукції: </w:t>
      </w:r>
    </w:p>
    <w:p w:rsidR="001D07B7" w:rsidRPr="00BB701A" w:rsidRDefault="001D07B7" w:rsidP="001D07B7">
      <w:pPr>
        <w:ind w:firstLine="708"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 xml:space="preserve">Риба заморожена без голів. Без ГМО. Риба повинна бути патрана, заморожена не більше одного разу. Тушки риби середнього розміру. Поверхня риби ціла, рівна, чиста, недеформована, </w:t>
      </w:r>
      <w:r w:rsidRPr="00BB701A">
        <w:rPr>
          <w:rFonts w:ascii="Times New Roman" w:hAnsi="Times New Roman" w:cs="Times New Roman"/>
        </w:rPr>
        <w:lastRenderedPageBreak/>
        <w:t>природного кольору, консистенція м'язів – щільна, запах притаманний свіжій рибі без сторонніх присмаків. Не допускається присутність льоду. Спосіб пакування: картонні ящики.</w:t>
      </w:r>
    </w:p>
    <w:p w:rsidR="001D07B7" w:rsidRPr="00BB701A" w:rsidRDefault="001D07B7" w:rsidP="001D07B7">
      <w:pPr>
        <w:ind w:firstLine="708"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>Картонна упаковка для риби повинна бути з маркуванням: дата запакування риби, назва риби, назва виробника та умови зберігання.</w:t>
      </w:r>
    </w:p>
    <w:p w:rsidR="009F733C" w:rsidRPr="00BB701A" w:rsidRDefault="009F733C" w:rsidP="00BC0020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701A">
        <w:rPr>
          <w:rFonts w:ascii="Times New Roman" w:hAnsi="Times New Roman" w:cs="Times New Roman"/>
        </w:rPr>
        <w:t xml:space="preserve">2) </w:t>
      </w:r>
      <w:r w:rsidR="00BC0020" w:rsidRPr="00BB701A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BB701A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BB701A" w:rsidRDefault="009F733C" w:rsidP="009F733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>3</w:t>
      </w:r>
      <w:r w:rsidR="00C10612" w:rsidRPr="00BB701A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BB701A">
        <w:rPr>
          <w:rFonts w:ascii="Times New Roman" w:hAnsi="Times New Roman" w:cs="Times New Roman"/>
        </w:rPr>
        <w:t>рефрежираторної</w:t>
      </w:r>
      <w:proofErr w:type="spellEnd"/>
      <w:r w:rsidR="00C10612" w:rsidRPr="00BB701A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BB701A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BB701A" w:rsidRDefault="00BC0020" w:rsidP="00ED6721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BB701A">
        <w:rPr>
          <w:rFonts w:ascii="Times New Roman" w:hAnsi="Times New Roman" w:cs="Times New Roman"/>
        </w:rPr>
        <w:t>4</w:t>
      </w:r>
      <w:r w:rsidR="00ED6721" w:rsidRPr="00BB701A">
        <w:rPr>
          <w:rFonts w:ascii="Times New Roman" w:hAnsi="Times New Roman" w:cs="Times New Roman"/>
        </w:rPr>
        <w:t xml:space="preserve">) </w:t>
      </w:r>
      <w:r w:rsidR="00ED6721" w:rsidRPr="00BB701A">
        <w:rPr>
          <w:rFonts w:ascii="Times New Roman" w:hAnsi="Times New Roman" w:cs="Times New Roman"/>
          <w:color w:val="000000"/>
        </w:rPr>
        <w:t xml:space="preserve">Доставка </w:t>
      </w:r>
      <w:r w:rsidRPr="00BB701A">
        <w:rPr>
          <w:rFonts w:ascii="Times New Roman" w:hAnsi="Times New Roman" w:cs="Times New Roman"/>
          <w:color w:val="000000"/>
        </w:rPr>
        <w:t>товару</w:t>
      </w:r>
      <w:r w:rsidR="00ED6721" w:rsidRPr="00BB701A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BB701A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BB701A">
        <w:rPr>
          <w:rFonts w:ascii="Times New Roman" w:hAnsi="Times New Roman" w:cs="Times New Roman"/>
          <w:color w:val="000000"/>
        </w:rPr>
        <w:t xml:space="preserve"> автотранспортом </w:t>
      </w:r>
      <w:r w:rsidRPr="00BB701A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BB701A">
        <w:rPr>
          <w:rFonts w:ascii="Times New Roman" w:hAnsi="Times New Roman" w:cs="Times New Roman"/>
          <w:color w:val="000000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 w:rsidRPr="00BB701A">
        <w:rPr>
          <w:rFonts w:ascii="Times New Roman" w:hAnsi="Times New Roman" w:cs="Times New Roman"/>
          <w:color w:val="000000"/>
        </w:rPr>
        <w:t xml:space="preserve"> </w:t>
      </w:r>
    </w:p>
    <w:p w:rsidR="003B27E8" w:rsidRPr="00BB701A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BB701A">
        <w:rPr>
          <w:rFonts w:ascii="Times New Roman" w:hAnsi="Times New Roman" w:cs="Times New Roman"/>
        </w:rPr>
        <w:t>5</w:t>
      </w:r>
      <w:r w:rsidR="00ED6721" w:rsidRPr="00BB701A">
        <w:rPr>
          <w:rFonts w:ascii="Times New Roman" w:hAnsi="Times New Roman" w:cs="Times New Roman"/>
        </w:rPr>
        <w:t xml:space="preserve">) </w:t>
      </w:r>
      <w:r w:rsidR="003B27E8" w:rsidRPr="00BB701A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BB701A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BB701A">
        <w:rPr>
          <w:rFonts w:ascii="Times New Roman" w:eastAsia="Times New Roman" w:hAnsi="Times New Roman"/>
        </w:rPr>
        <w:t xml:space="preserve">6) </w:t>
      </w:r>
      <w:r w:rsidRPr="00BB701A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BB701A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BB701A">
        <w:rPr>
          <w:rFonts w:ascii="Times New Roman" w:hAnsi="Times New Roman" w:cs="Times New Roman"/>
        </w:rPr>
        <w:t>7</w:t>
      </w:r>
      <w:r w:rsidR="00ED6721" w:rsidRPr="00BB701A">
        <w:rPr>
          <w:rFonts w:ascii="Times New Roman" w:hAnsi="Times New Roman" w:cs="Times New Roman"/>
        </w:rPr>
        <w:t xml:space="preserve">) </w:t>
      </w:r>
      <w:r w:rsidR="00ED6721" w:rsidRPr="00BB701A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BB701A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BB701A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BB701A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BB701A">
        <w:rPr>
          <w:rFonts w:ascii="Times New Roman" w:hAnsi="Times New Roman" w:cs="Times New Roman"/>
        </w:rPr>
        <w:t>9</w:t>
      </w:r>
      <w:r w:rsidR="00ED6721" w:rsidRPr="00BB701A">
        <w:rPr>
          <w:rFonts w:ascii="Times New Roman" w:hAnsi="Times New Roman" w:cs="Times New Roman"/>
        </w:rPr>
        <w:t xml:space="preserve">) </w:t>
      </w:r>
      <w:r w:rsidR="00ED6721" w:rsidRPr="00BB701A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BB701A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BB701A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BB701A">
        <w:rPr>
          <w:rFonts w:ascii="Times New Roman" w:hAnsi="Times New Roman" w:cs="Times New Roman"/>
          <w:b/>
        </w:rPr>
        <w:t>7</w:t>
      </w:r>
      <w:r w:rsidR="00C10612" w:rsidRPr="00BB701A">
        <w:rPr>
          <w:rFonts w:ascii="Times New Roman" w:hAnsi="Times New Roman" w:cs="Times New Roman"/>
          <w:b/>
        </w:rPr>
        <w:t>.</w:t>
      </w:r>
      <w:r w:rsidR="00C10612" w:rsidRPr="00BB701A">
        <w:rPr>
          <w:rFonts w:ascii="Times New Roman" w:hAnsi="Times New Roman" w:cs="Times New Roman"/>
        </w:rPr>
        <w:t xml:space="preserve"> </w:t>
      </w:r>
      <w:r w:rsidR="00C10612" w:rsidRPr="00BB701A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BB701A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BB701A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BB701A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BB701A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BB701A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BB701A">
        <w:rPr>
          <w:rFonts w:ascii="Times New Roman" w:hAnsi="Times New Roman" w:cs="Times New Roman"/>
          <w:bCs/>
        </w:rPr>
        <w:t xml:space="preserve"> </w:t>
      </w:r>
      <w:r w:rsidR="00C10612" w:rsidRPr="00BB701A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BB701A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BB701A">
        <w:rPr>
          <w:rFonts w:ascii="Times New Roman" w:hAnsi="Times New Roman"/>
          <w:lang w:val="ru-RU"/>
        </w:rPr>
        <w:t>податків</w:t>
      </w:r>
      <w:proofErr w:type="spellEnd"/>
      <w:r w:rsidR="00C10612" w:rsidRPr="00BB701A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BB701A">
        <w:rPr>
          <w:rFonts w:ascii="Times New Roman" w:hAnsi="Times New Roman"/>
          <w:lang w:val="ru-RU"/>
        </w:rPr>
        <w:t>інших</w:t>
      </w:r>
      <w:proofErr w:type="spellEnd"/>
      <w:r w:rsidR="00C10612" w:rsidRPr="00BB701A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BB701A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BB701A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BB701A">
        <w:rPr>
          <w:rFonts w:ascii="Times New Roman" w:hAnsi="Times New Roman"/>
          <w:lang w:val="ru-RU"/>
        </w:rPr>
        <w:t>зборів</w:t>
      </w:r>
      <w:proofErr w:type="spellEnd"/>
      <w:r w:rsidR="00C10612" w:rsidRPr="00BB701A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BB701A">
        <w:rPr>
          <w:rFonts w:ascii="Times New Roman" w:hAnsi="Times New Roman"/>
          <w:lang w:val="ru-RU"/>
        </w:rPr>
        <w:t>платежі</w:t>
      </w:r>
      <w:proofErr w:type="gramStart"/>
      <w:r w:rsidR="00C10612" w:rsidRPr="00BB701A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BB701A">
        <w:rPr>
          <w:rFonts w:ascii="Times New Roman" w:hAnsi="Times New Roman"/>
          <w:lang w:val="ru-RU"/>
        </w:rPr>
        <w:t>.</w:t>
      </w:r>
    </w:p>
    <w:p w:rsidR="00A14CA9" w:rsidRPr="00BB701A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</w:rPr>
      </w:pPr>
      <w:r w:rsidRPr="00BB701A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BB701A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BB701A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BB701A">
        <w:rPr>
          <w:rFonts w:ascii="Times New Roman" w:eastAsia="Times New Roman" w:hAnsi="Times New Roman"/>
        </w:rPr>
        <w:t>8</w:t>
      </w:r>
      <w:r w:rsidR="00A14CA9" w:rsidRPr="00BB701A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BB701A">
        <w:rPr>
          <w:rFonts w:ascii="Times New Roman" w:eastAsia="Times New Roman" w:hAnsi="Times New Roman"/>
        </w:rPr>
        <w:t>потужностей</w:t>
      </w:r>
      <w:proofErr w:type="spellEnd"/>
      <w:r w:rsidR="00A14CA9" w:rsidRPr="00BB701A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BB701A">
        <w:rPr>
          <w:rFonts w:ascii="Times New Roman" w:eastAsia="Times New Roman" w:hAnsi="Times New Roman"/>
        </w:rPr>
        <w:t>потужностей</w:t>
      </w:r>
      <w:proofErr w:type="spellEnd"/>
      <w:r w:rsidR="00A14CA9" w:rsidRPr="00BB701A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BB701A">
        <w:rPr>
          <w:rFonts w:ascii="Times New Roman" w:eastAsia="Times New Roman" w:hAnsi="Times New Roman"/>
        </w:rPr>
        <w:t>потужностей</w:t>
      </w:r>
      <w:proofErr w:type="spellEnd"/>
      <w:r w:rsidR="00A14CA9" w:rsidRPr="00BB701A">
        <w:rPr>
          <w:rFonts w:ascii="Times New Roman" w:eastAsia="Times New Roman" w:hAnsi="Times New Roman"/>
        </w:rPr>
        <w:t xml:space="preserve"> операторів ринку;</w:t>
      </w:r>
    </w:p>
    <w:p w:rsidR="00A14CA9" w:rsidRPr="00BB701A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BB701A">
        <w:rPr>
          <w:rFonts w:ascii="Times New Roman" w:eastAsia="Times New Roman" w:hAnsi="Times New Roman"/>
        </w:rPr>
        <w:t>8</w:t>
      </w:r>
      <w:r w:rsidR="00A14CA9" w:rsidRPr="00BB701A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BB701A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BB701A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BB701A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BB701A">
        <w:rPr>
          <w:rFonts w:ascii="Times New Roman" w:eastAsia="Times New Roman" w:hAnsi="Times New Roman"/>
          <w:color w:val="000000"/>
        </w:rPr>
        <w:t>8</w:t>
      </w:r>
      <w:r w:rsidR="00A14CA9" w:rsidRPr="00BB701A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BB701A">
        <w:rPr>
          <w:rFonts w:ascii="Times New Roman" w:eastAsia="Times New Roman" w:hAnsi="Times New Roman"/>
          <w:color w:val="000000"/>
        </w:rPr>
        <w:t>керування</w:t>
      </w:r>
      <w:r w:rsidR="00A14CA9" w:rsidRPr="00BB701A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BB701A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BB701A">
        <w:rPr>
          <w:rFonts w:ascii="Times New Roman" w:eastAsia="Times New Roman" w:hAnsi="Times New Roman"/>
          <w:color w:val="000000"/>
        </w:rPr>
        <w:t>8</w:t>
      </w:r>
      <w:r w:rsidR="00A14CA9" w:rsidRPr="00BB701A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BB701A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BB701A">
        <w:rPr>
          <w:rFonts w:ascii="Times New Roman" w:eastAsia="Times New Roman" w:hAnsi="Times New Roman"/>
          <w:color w:val="000000"/>
        </w:rPr>
        <w:lastRenderedPageBreak/>
        <w:t>8</w:t>
      </w:r>
      <w:r w:rsidR="00A14CA9" w:rsidRPr="00BB701A">
        <w:rPr>
          <w:rFonts w:ascii="Times New Roman" w:eastAsia="Times New Roman" w:hAnsi="Times New Roman"/>
          <w:color w:val="000000"/>
        </w:rPr>
        <w:t>.5.</w:t>
      </w:r>
      <w:r w:rsidR="00A14CA9" w:rsidRPr="00BB701A">
        <w:rPr>
          <w:rFonts w:ascii="Times New Roman" w:eastAsia="Times New Roman" w:hAnsi="Times New Roman"/>
        </w:rPr>
        <w:t xml:space="preserve"> </w:t>
      </w:r>
      <w:r w:rsidR="00A14CA9" w:rsidRPr="00BB701A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BB701A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BB701A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BB701A">
        <w:rPr>
          <w:rFonts w:ascii="Times New Roman" w:eastAsia="Times New Roman" w:hAnsi="Times New Roman"/>
          <w:color w:val="000000"/>
        </w:rPr>
        <w:t>Т</w:t>
      </w:r>
      <w:r w:rsidR="00A14CA9" w:rsidRPr="00BB701A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BB701A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BB701A">
        <w:rPr>
          <w:rFonts w:ascii="Times New Roman" w:eastAsia="Times New Roman" w:hAnsi="Times New Roman"/>
          <w:color w:val="000000"/>
        </w:rPr>
        <w:t>8.6.</w:t>
      </w:r>
      <w:r w:rsidRPr="00BB701A">
        <w:rPr>
          <w:rFonts w:ascii="Times New Roman" w:eastAsia="Times New Roman" w:hAnsi="Times New Roman"/>
        </w:rPr>
        <w:t xml:space="preserve"> </w:t>
      </w:r>
      <w:r w:rsidRPr="00BB701A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BB701A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BB701A">
        <w:rPr>
          <w:rFonts w:ascii="Times New Roman" w:eastAsia="Times New Roman" w:hAnsi="Times New Roman"/>
          <w:color w:val="000000"/>
        </w:rPr>
        <w:t xml:space="preserve">8.7. </w:t>
      </w:r>
      <w:r w:rsidRPr="00BB701A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BB701A">
        <w:rPr>
          <w:rFonts w:ascii="Times New Roman" w:hAnsi="Times New Roman" w:cs="Times New Roman"/>
          <w:color w:val="000000"/>
        </w:rPr>
        <w:t>скан</w:t>
      </w:r>
      <w:proofErr w:type="spellEnd"/>
      <w:r w:rsidRPr="00BB701A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BB701A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BB701A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BB701A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BB701A">
        <w:rPr>
          <w:rFonts w:ascii="Times New Roman" w:hAnsi="Times New Roman" w:cs="Times New Roman"/>
          <w:color w:val="000000"/>
        </w:rPr>
        <w:t>8.8</w:t>
      </w:r>
      <w:r w:rsidR="00A14CA9" w:rsidRPr="00BB701A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BB701A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BB701A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BB701A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lang w:val="uk-UA"/>
        </w:rPr>
      </w:pPr>
    </w:p>
    <w:p w:rsidR="00C10612" w:rsidRPr="00BB701A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01A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BB701A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01A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BB701A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01A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BB701A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01A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BB701A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01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BB701A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01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BB701A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BB701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1442AA"/>
    <w:rsid w:val="001D07B7"/>
    <w:rsid w:val="00362ECA"/>
    <w:rsid w:val="003B27E8"/>
    <w:rsid w:val="00533CF2"/>
    <w:rsid w:val="00557DDA"/>
    <w:rsid w:val="006112ED"/>
    <w:rsid w:val="006E58B9"/>
    <w:rsid w:val="008A7337"/>
    <w:rsid w:val="008F24B1"/>
    <w:rsid w:val="009B7FAB"/>
    <w:rsid w:val="009F733C"/>
    <w:rsid w:val="00A1313D"/>
    <w:rsid w:val="00A14CA9"/>
    <w:rsid w:val="00A83BD6"/>
    <w:rsid w:val="00AD7171"/>
    <w:rsid w:val="00BB701A"/>
    <w:rsid w:val="00BC0020"/>
    <w:rsid w:val="00BD77F7"/>
    <w:rsid w:val="00C10612"/>
    <w:rsid w:val="00C35010"/>
    <w:rsid w:val="00C62C32"/>
    <w:rsid w:val="00D53357"/>
    <w:rsid w:val="00DF3895"/>
    <w:rsid w:val="00E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F4F738-750D-4CDA-B345-9325E0D9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Альбина</cp:lastModifiedBy>
  <cp:revision>4</cp:revision>
  <dcterms:created xsi:type="dcterms:W3CDTF">2024-01-19T08:40:00Z</dcterms:created>
  <dcterms:modified xsi:type="dcterms:W3CDTF">2024-01-19T09:07:00Z</dcterms:modified>
</cp:coreProperties>
</file>