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2C89" w14:textId="51DE6BB6" w:rsidR="00333B3A" w:rsidRPr="009D3F9E" w:rsidRDefault="00033C12" w:rsidP="009D3F9E">
      <w:pPr>
        <w:jc w:val="center"/>
        <w:rPr>
          <w:rFonts w:ascii="Times New Roman" w:hAnsi="Times New Roman" w:cs="Times New Roman"/>
        </w:rPr>
      </w:pPr>
      <w:r w:rsidRPr="009D3F9E">
        <w:rPr>
          <w:rFonts w:ascii="Times New Roman" w:hAnsi="Times New Roman" w:cs="Times New Roman"/>
        </w:rPr>
        <w:t>Перелік змін</w:t>
      </w:r>
    </w:p>
    <w:p w14:paraId="5CD6F956" w14:textId="56CD7D31" w:rsidR="00033C12" w:rsidRPr="009D3F9E" w:rsidRDefault="00033C12" w:rsidP="009D3F9E">
      <w:pPr>
        <w:jc w:val="center"/>
        <w:rPr>
          <w:rFonts w:ascii="Times New Roman" w:hAnsi="Times New Roman" w:cs="Times New Roman"/>
        </w:rPr>
      </w:pPr>
      <w:r w:rsidRPr="009D3F9E">
        <w:rPr>
          <w:rFonts w:ascii="Times New Roman" w:hAnsi="Times New Roman" w:cs="Times New Roman"/>
        </w:rPr>
        <w:t>Зміни до п. 1 Розділу V. Оцінка тендерної пропозиції</w:t>
      </w:r>
    </w:p>
    <w:p w14:paraId="244897A5" w14:textId="5136E0C8" w:rsidR="00033C12" w:rsidRPr="009D3F9E" w:rsidRDefault="00033C12" w:rsidP="009D3F9E">
      <w:pPr>
        <w:jc w:val="center"/>
        <w:rPr>
          <w:rFonts w:ascii="Times New Roman" w:hAnsi="Times New Roman" w:cs="Times New Roman"/>
        </w:rPr>
      </w:pPr>
      <w:r w:rsidRPr="009D3F9E">
        <w:rPr>
          <w:rFonts w:ascii="Times New Roman" w:hAnsi="Times New Roman" w:cs="Times New Roman"/>
        </w:rPr>
        <w:t>Попередня редакція</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6329"/>
        <w:gridCol w:w="516"/>
      </w:tblGrid>
      <w:tr w:rsidR="00033C12" w:rsidRPr="00FD56BB" w14:paraId="47343B2A" w14:textId="77777777" w:rsidTr="00FB3AC4">
        <w:trPr>
          <w:trHeight w:val="522"/>
          <w:jc w:val="center"/>
        </w:trPr>
        <w:tc>
          <w:tcPr>
            <w:tcW w:w="10344" w:type="dxa"/>
            <w:gridSpan w:val="3"/>
            <w:shd w:val="clear" w:color="auto" w:fill="A5A5A5"/>
          </w:tcPr>
          <w:p w14:paraId="0D6A6F15" w14:textId="77777777" w:rsidR="00033C12" w:rsidRPr="00FD56BB" w:rsidRDefault="00033C12" w:rsidP="00FB3AC4">
            <w:pPr>
              <w:widowControl w:val="0"/>
              <w:spacing w:after="0" w:line="240" w:lineRule="auto"/>
              <w:jc w:val="both"/>
              <w:rPr>
                <w:rFonts w:ascii="Times New Roman" w:hAnsi="Times New Roman" w:cs="Times New Roman"/>
                <w:b/>
                <w:bCs/>
                <w:sz w:val="24"/>
                <w:szCs w:val="24"/>
              </w:rPr>
            </w:pPr>
            <w:r w:rsidRPr="00FD56BB">
              <w:rPr>
                <w:rFonts w:ascii="Times New Roman" w:hAnsi="Times New Roman" w:cs="Times New Roman"/>
                <w:b/>
                <w:bCs/>
                <w:sz w:val="24"/>
                <w:szCs w:val="24"/>
              </w:rPr>
              <w:t>Розділ V. Оцінка тендерної пропозиції</w:t>
            </w:r>
          </w:p>
        </w:tc>
      </w:tr>
      <w:tr w:rsidR="00033C12" w:rsidRPr="00FD56BB" w14:paraId="6CAC6B84" w14:textId="77777777" w:rsidTr="00FB3AC4">
        <w:trPr>
          <w:gridAfter w:val="1"/>
          <w:wAfter w:w="499" w:type="dxa"/>
          <w:trHeight w:val="522"/>
          <w:jc w:val="center"/>
        </w:trPr>
        <w:tc>
          <w:tcPr>
            <w:tcW w:w="3499" w:type="dxa"/>
          </w:tcPr>
          <w:p w14:paraId="39CE9F7D" w14:textId="77777777" w:rsidR="00033C12" w:rsidRPr="00FD56BB" w:rsidRDefault="00033C12" w:rsidP="00FB3AC4">
            <w:pPr>
              <w:widowControl w:val="0"/>
              <w:spacing w:after="0" w:line="240" w:lineRule="auto"/>
              <w:jc w:val="both"/>
              <w:rPr>
                <w:rFonts w:ascii="Times New Roman" w:hAnsi="Times New Roman" w:cs="Times New Roman"/>
                <w:b/>
                <w:bCs/>
                <w:sz w:val="24"/>
                <w:szCs w:val="24"/>
                <w:lang w:eastAsia="uk-UA"/>
              </w:rPr>
            </w:pPr>
            <w:r w:rsidRPr="00FD56BB">
              <w:rPr>
                <w:rFonts w:ascii="Times New Roman" w:hAnsi="Times New Roman" w:cs="Times New Roman"/>
                <w:b/>
                <w:bCs/>
                <w:sz w:val="24"/>
                <w:szCs w:val="24"/>
                <w:lang w:eastAsia="uk-UA"/>
              </w:rPr>
              <w:t>Перелік критеріїв та методика оцінки тендерної пропозиції із зазначенням питомої ваги критерію</w:t>
            </w:r>
          </w:p>
        </w:tc>
        <w:tc>
          <w:tcPr>
            <w:tcW w:w="6329" w:type="dxa"/>
          </w:tcPr>
          <w:p w14:paraId="46C94119"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1.1. Оцінка тендерних пропозицій проводиться автоматично елект</w:t>
            </w:r>
            <w:bookmarkStart w:id="0" w:name="_GoBack"/>
            <w:bookmarkEnd w:id="0"/>
            <w:r w:rsidRPr="00FD56BB">
              <w:rPr>
                <w:rFonts w:ascii="Times New Roman" w:hAnsi="Times New Roman" w:cs="Times New Roman"/>
                <w:lang w:eastAsia="ru-RU"/>
              </w:rPr>
              <w:t>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Оцінка пропозицій здійснюється на основі наступних критеріїв:</w:t>
            </w:r>
          </w:p>
          <w:p w14:paraId="31D328E2"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1. Питома вага по критерію «Ціна» - 70%.</w:t>
            </w:r>
          </w:p>
          <w:p w14:paraId="0CD446EA"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2. Питома вага по критерію «Середньо облікова кількість штатних працівників» — 30%.</w:t>
            </w:r>
          </w:p>
          <w:p w14:paraId="46B12632"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Пропозиція, подана учасником, оцінюється замовником за приведеною ціною, яка розраховується автоматично електронною системою закупівель на момент подання пропозиції учасником за математичною формулою</w:t>
            </w:r>
          </w:p>
          <w:p w14:paraId="151325EE"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РР = P/(1+(F1+F2+...+</w:t>
            </w:r>
            <w:proofErr w:type="spellStart"/>
            <w:r w:rsidRPr="00FD56BB">
              <w:rPr>
                <w:rFonts w:ascii="Times New Roman" w:hAnsi="Times New Roman" w:cs="Times New Roman"/>
                <w:lang w:eastAsia="ru-RU"/>
              </w:rPr>
              <w:t>Fn</w:t>
            </w:r>
            <w:proofErr w:type="spellEnd"/>
            <w:r w:rsidRPr="00FD56BB">
              <w:rPr>
                <w:rFonts w:ascii="Times New Roman" w:hAnsi="Times New Roman" w:cs="Times New Roman"/>
                <w:lang w:eastAsia="ru-RU"/>
              </w:rPr>
              <w:t>)/PV, де</w:t>
            </w:r>
          </w:p>
          <w:p w14:paraId="1AA2E62B"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РР – приведена ціна;</w:t>
            </w:r>
          </w:p>
          <w:p w14:paraId="7664B6C4"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P – ціна;</w:t>
            </w:r>
          </w:p>
          <w:p w14:paraId="10C4716C"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F1...</w:t>
            </w:r>
            <w:proofErr w:type="spellStart"/>
            <w:r w:rsidRPr="00FD56BB">
              <w:rPr>
                <w:rFonts w:ascii="Times New Roman" w:hAnsi="Times New Roman" w:cs="Times New Roman"/>
                <w:lang w:eastAsia="ru-RU"/>
              </w:rPr>
              <w:t>Fn</w:t>
            </w:r>
            <w:proofErr w:type="spellEnd"/>
            <w:r w:rsidRPr="00FD56BB">
              <w:rPr>
                <w:rFonts w:ascii="Times New Roman" w:hAnsi="Times New Roman" w:cs="Times New Roman"/>
                <w:lang w:eastAsia="ru-RU"/>
              </w:rPr>
              <w:t>– питома вага інших критеріїв оцінки, запропонованих Учасником;</w:t>
            </w:r>
          </w:p>
          <w:p w14:paraId="5B3FE538"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PV – питома вага критерію “ціна”.</w:t>
            </w:r>
          </w:p>
          <w:p w14:paraId="3D497CE5"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Питома вага критерію ціна (PV) становить 70%.</w:t>
            </w:r>
          </w:p>
          <w:tbl>
            <w:tblPr>
              <w:tblW w:w="5337" w:type="dxa"/>
              <w:tblInd w:w="3" w:type="dxa"/>
              <w:tblLook w:val="0000" w:firstRow="0" w:lastRow="0" w:firstColumn="0" w:lastColumn="0" w:noHBand="0" w:noVBand="0"/>
            </w:tblPr>
            <w:tblGrid>
              <w:gridCol w:w="970"/>
              <w:gridCol w:w="3076"/>
              <w:gridCol w:w="1291"/>
            </w:tblGrid>
            <w:tr w:rsidR="00033C12" w:rsidRPr="00FD56BB" w14:paraId="575DF198" w14:textId="77777777" w:rsidTr="00FB3AC4">
              <w:trPr>
                <w:trHeight w:val="1389"/>
              </w:trPr>
              <w:tc>
                <w:tcPr>
                  <w:tcW w:w="970" w:type="dxa"/>
                  <w:tcBorders>
                    <w:top w:val="single" w:sz="4" w:space="0" w:color="000000"/>
                    <w:left w:val="single" w:sz="4" w:space="0" w:color="000000"/>
                    <w:bottom w:val="single" w:sz="4" w:space="0" w:color="000000"/>
                  </w:tcBorders>
                  <w:vAlign w:val="center"/>
                </w:tcPr>
                <w:p w14:paraId="47493814"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№п/п</w:t>
                  </w:r>
                </w:p>
              </w:tc>
              <w:tc>
                <w:tcPr>
                  <w:tcW w:w="3076" w:type="dxa"/>
                  <w:tcBorders>
                    <w:top w:val="single" w:sz="4" w:space="0" w:color="000000"/>
                    <w:left w:val="single" w:sz="4" w:space="0" w:color="000000"/>
                    <w:bottom w:val="single" w:sz="4" w:space="0" w:color="000000"/>
                  </w:tcBorders>
                  <w:vAlign w:val="center"/>
                </w:tcPr>
                <w:p w14:paraId="5EF93DC4"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Найменування критерію</w:t>
                  </w:r>
                </w:p>
              </w:tc>
              <w:tc>
                <w:tcPr>
                  <w:tcW w:w="1291" w:type="dxa"/>
                  <w:tcBorders>
                    <w:top w:val="single" w:sz="4" w:space="0" w:color="000000"/>
                    <w:left w:val="single" w:sz="4" w:space="0" w:color="000000"/>
                    <w:bottom w:val="single" w:sz="4" w:space="0" w:color="000000"/>
                    <w:right w:val="single" w:sz="4" w:space="0" w:color="000000"/>
                  </w:tcBorders>
                  <w:vAlign w:val="center"/>
                </w:tcPr>
                <w:p w14:paraId="1AC374A1"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Вартісний еквівалент або питома вага (%)</w:t>
                  </w:r>
                </w:p>
              </w:tc>
            </w:tr>
            <w:tr w:rsidR="00033C12" w:rsidRPr="00FD56BB" w14:paraId="31C89DFD" w14:textId="77777777" w:rsidTr="00FB3AC4">
              <w:trPr>
                <w:trHeight w:val="694"/>
              </w:trPr>
              <w:tc>
                <w:tcPr>
                  <w:tcW w:w="970" w:type="dxa"/>
                  <w:tcBorders>
                    <w:top w:val="single" w:sz="4" w:space="0" w:color="000000"/>
                    <w:left w:val="single" w:sz="4" w:space="0" w:color="000000"/>
                    <w:bottom w:val="single" w:sz="4" w:space="0" w:color="000000"/>
                  </w:tcBorders>
                  <w:vAlign w:val="center"/>
                </w:tcPr>
                <w:p w14:paraId="4A0A3B65"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b/>
                      <w:bCs/>
                      <w:sz w:val="16"/>
                      <w:szCs w:val="16"/>
                    </w:rPr>
                    <w:t>1.</w:t>
                  </w:r>
                </w:p>
              </w:tc>
              <w:tc>
                <w:tcPr>
                  <w:tcW w:w="3076" w:type="dxa"/>
                  <w:tcBorders>
                    <w:top w:val="single" w:sz="4" w:space="0" w:color="000000"/>
                    <w:left w:val="single" w:sz="4" w:space="0" w:color="000000"/>
                    <w:bottom w:val="single" w:sz="4" w:space="0" w:color="000000"/>
                  </w:tcBorders>
                </w:tcPr>
                <w:p w14:paraId="0595701B" w14:textId="77777777" w:rsidR="00033C12" w:rsidRPr="00FD56BB" w:rsidRDefault="00033C12" w:rsidP="00FB3AC4">
                  <w:pPr>
                    <w:tabs>
                      <w:tab w:val="left" w:pos="6096"/>
                    </w:tabs>
                    <w:spacing w:line="240" w:lineRule="atLeast"/>
                    <w:ind w:left="51" w:right="142"/>
                    <w:jc w:val="both"/>
                    <w:rPr>
                      <w:rFonts w:ascii="Times New Roman" w:hAnsi="Times New Roman" w:cs="Times New Roman"/>
                      <w:sz w:val="16"/>
                      <w:szCs w:val="16"/>
                    </w:rPr>
                  </w:pPr>
                  <w:r w:rsidRPr="00FD56BB">
                    <w:rPr>
                      <w:rFonts w:ascii="Times New Roman" w:hAnsi="Times New Roman" w:cs="Times New Roman"/>
                      <w:sz w:val="16"/>
                      <w:szCs w:val="16"/>
                    </w:rPr>
                    <w:t>Середньооблікова кількість штатних працівників</w:t>
                  </w:r>
                </w:p>
              </w:tc>
              <w:tc>
                <w:tcPr>
                  <w:tcW w:w="1291" w:type="dxa"/>
                  <w:tcBorders>
                    <w:top w:val="single" w:sz="4" w:space="0" w:color="000000"/>
                    <w:left w:val="single" w:sz="4" w:space="0" w:color="000000"/>
                    <w:bottom w:val="single" w:sz="4" w:space="0" w:color="000000"/>
                    <w:right w:val="single" w:sz="4" w:space="0" w:color="000000"/>
                  </w:tcBorders>
                  <w:vAlign w:val="center"/>
                </w:tcPr>
                <w:p w14:paraId="50FA6A30" w14:textId="77777777" w:rsidR="00033C12" w:rsidRPr="00FD56BB" w:rsidRDefault="00033C12" w:rsidP="00FB3AC4">
                  <w:pPr>
                    <w:tabs>
                      <w:tab w:val="left" w:pos="6096"/>
                    </w:tabs>
                    <w:spacing w:line="240" w:lineRule="atLeast"/>
                    <w:ind w:left="51" w:right="142"/>
                    <w:jc w:val="center"/>
                    <w:rPr>
                      <w:rFonts w:ascii="Times New Roman" w:hAnsi="Times New Roman" w:cs="Times New Roman"/>
                      <w:sz w:val="16"/>
                      <w:szCs w:val="16"/>
                    </w:rPr>
                  </w:pPr>
                </w:p>
              </w:tc>
            </w:tr>
            <w:tr w:rsidR="00033C12" w:rsidRPr="00FD56BB" w14:paraId="3062D1F3" w14:textId="77777777" w:rsidTr="00FB3AC4">
              <w:trPr>
                <w:trHeight w:val="448"/>
              </w:trPr>
              <w:tc>
                <w:tcPr>
                  <w:tcW w:w="970" w:type="dxa"/>
                  <w:tcBorders>
                    <w:top w:val="single" w:sz="4" w:space="0" w:color="000000"/>
                    <w:left w:val="single" w:sz="4" w:space="0" w:color="000000"/>
                    <w:bottom w:val="single" w:sz="4" w:space="0" w:color="000000"/>
                  </w:tcBorders>
                  <w:vAlign w:val="center"/>
                </w:tcPr>
                <w:p w14:paraId="7861B19F"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Опція 1</w:t>
                  </w:r>
                </w:p>
              </w:tc>
              <w:tc>
                <w:tcPr>
                  <w:tcW w:w="3076" w:type="dxa"/>
                  <w:tcBorders>
                    <w:top w:val="single" w:sz="4" w:space="0" w:color="000000"/>
                    <w:left w:val="single" w:sz="4" w:space="0" w:color="000000"/>
                    <w:bottom w:val="single" w:sz="4" w:space="0" w:color="000000"/>
                  </w:tcBorders>
                  <w:vAlign w:val="center"/>
                </w:tcPr>
                <w:p w14:paraId="56E8223D" w14:textId="77777777" w:rsidR="00033C12" w:rsidRPr="00FD56BB" w:rsidRDefault="00033C12" w:rsidP="00FB3AC4">
                  <w:pPr>
                    <w:tabs>
                      <w:tab w:val="left" w:pos="6096"/>
                    </w:tabs>
                    <w:spacing w:line="240" w:lineRule="atLeast"/>
                    <w:ind w:left="-38" w:right="142"/>
                    <w:jc w:val="both"/>
                    <w:rPr>
                      <w:rFonts w:ascii="Times New Roman" w:hAnsi="Times New Roman" w:cs="Times New Roman"/>
                      <w:sz w:val="16"/>
                      <w:szCs w:val="16"/>
                    </w:rPr>
                  </w:pPr>
                  <w:r w:rsidRPr="00FD56BB">
                    <w:rPr>
                      <w:rFonts w:ascii="Times New Roman" w:hAnsi="Times New Roman" w:cs="Times New Roman"/>
                      <w:sz w:val="16"/>
                      <w:szCs w:val="16"/>
                    </w:rPr>
                    <w:t>Від 60 працівників і більше</w:t>
                  </w:r>
                </w:p>
              </w:tc>
              <w:tc>
                <w:tcPr>
                  <w:tcW w:w="1291" w:type="dxa"/>
                  <w:tcBorders>
                    <w:top w:val="single" w:sz="4" w:space="0" w:color="000000"/>
                    <w:left w:val="single" w:sz="4" w:space="0" w:color="000000"/>
                    <w:bottom w:val="single" w:sz="4" w:space="0" w:color="000000"/>
                    <w:right w:val="single" w:sz="4" w:space="0" w:color="000000"/>
                  </w:tcBorders>
                  <w:vAlign w:val="center"/>
                </w:tcPr>
                <w:p w14:paraId="22765335"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Pr>
                      <w:rFonts w:ascii="Times New Roman" w:hAnsi="Times New Roman" w:cs="Times New Roman"/>
                      <w:sz w:val="16"/>
                      <w:szCs w:val="16"/>
                    </w:rPr>
                    <w:t>25</w:t>
                  </w:r>
                  <w:r w:rsidRPr="00FD56BB">
                    <w:rPr>
                      <w:rFonts w:ascii="Times New Roman" w:hAnsi="Times New Roman" w:cs="Times New Roman"/>
                      <w:sz w:val="16"/>
                      <w:szCs w:val="16"/>
                    </w:rPr>
                    <w:t>%</w:t>
                  </w:r>
                </w:p>
              </w:tc>
            </w:tr>
            <w:tr w:rsidR="00033C12" w:rsidRPr="00FD56BB" w14:paraId="63FAB2FE" w14:textId="77777777" w:rsidTr="00FB3AC4">
              <w:trPr>
                <w:trHeight w:val="462"/>
              </w:trPr>
              <w:tc>
                <w:tcPr>
                  <w:tcW w:w="970" w:type="dxa"/>
                  <w:tcBorders>
                    <w:top w:val="single" w:sz="4" w:space="0" w:color="000000"/>
                    <w:left w:val="single" w:sz="4" w:space="0" w:color="000000"/>
                    <w:bottom w:val="single" w:sz="4" w:space="0" w:color="000000"/>
                  </w:tcBorders>
                  <w:vAlign w:val="center"/>
                </w:tcPr>
                <w:p w14:paraId="5A1D2BDF" w14:textId="77777777" w:rsidR="00033C12" w:rsidRPr="00900BB1" w:rsidRDefault="00033C12" w:rsidP="00FB3AC4">
                  <w:pPr>
                    <w:rPr>
                      <w:rFonts w:ascii="Times New Roman" w:hAnsi="Times New Roman" w:cs="Times New Roman"/>
                      <w:sz w:val="16"/>
                      <w:szCs w:val="16"/>
                    </w:rPr>
                  </w:pPr>
                  <w:r w:rsidRPr="00900BB1">
                    <w:rPr>
                      <w:rFonts w:ascii="Times New Roman" w:hAnsi="Times New Roman" w:cs="Times New Roman"/>
                      <w:sz w:val="16"/>
                      <w:szCs w:val="16"/>
                    </w:rPr>
                    <w:t>Опція 2</w:t>
                  </w:r>
                </w:p>
              </w:tc>
              <w:tc>
                <w:tcPr>
                  <w:tcW w:w="3076" w:type="dxa"/>
                  <w:tcBorders>
                    <w:top w:val="single" w:sz="4" w:space="0" w:color="000000"/>
                    <w:left w:val="single" w:sz="4" w:space="0" w:color="000000"/>
                    <w:bottom w:val="single" w:sz="4" w:space="0" w:color="000000"/>
                  </w:tcBorders>
                  <w:vAlign w:val="center"/>
                </w:tcPr>
                <w:p w14:paraId="2C28E6A0" w14:textId="77777777" w:rsidR="00033C12" w:rsidRPr="00900BB1" w:rsidRDefault="00033C12" w:rsidP="00FB3AC4">
                  <w:pPr>
                    <w:rPr>
                      <w:rFonts w:ascii="Times New Roman" w:hAnsi="Times New Roman" w:cs="Times New Roman"/>
                      <w:sz w:val="16"/>
                      <w:szCs w:val="16"/>
                    </w:rPr>
                  </w:pPr>
                  <w:r w:rsidRPr="00900BB1">
                    <w:rPr>
                      <w:rFonts w:ascii="Times New Roman" w:hAnsi="Times New Roman" w:cs="Times New Roman"/>
                      <w:sz w:val="16"/>
                      <w:szCs w:val="16"/>
                    </w:rPr>
                    <w:t>Від 55 включно до 59 працівників</w:t>
                  </w:r>
                </w:p>
              </w:tc>
              <w:tc>
                <w:tcPr>
                  <w:tcW w:w="1291" w:type="dxa"/>
                  <w:tcBorders>
                    <w:top w:val="single" w:sz="4" w:space="0" w:color="000000"/>
                    <w:left w:val="single" w:sz="4" w:space="0" w:color="000000"/>
                    <w:bottom w:val="single" w:sz="4" w:space="0" w:color="000000"/>
                    <w:right w:val="single" w:sz="4" w:space="0" w:color="000000"/>
                  </w:tcBorders>
                  <w:vAlign w:val="center"/>
                </w:tcPr>
                <w:p w14:paraId="38244F15" w14:textId="77777777" w:rsidR="00033C12" w:rsidRPr="00900BB1" w:rsidRDefault="00033C12" w:rsidP="00FB3AC4">
                  <w:pPr>
                    <w:jc w:val="center"/>
                    <w:rPr>
                      <w:rFonts w:ascii="Times New Roman" w:hAnsi="Times New Roman" w:cs="Times New Roman"/>
                      <w:sz w:val="16"/>
                      <w:szCs w:val="16"/>
                    </w:rPr>
                  </w:pPr>
                  <w:r>
                    <w:rPr>
                      <w:rFonts w:ascii="Times New Roman" w:hAnsi="Times New Roman" w:cs="Times New Roman"/>
                      <w:sz w:val="16"/>
                      <w:szCs w:val="16"/>
                    </w:rPr>
                    <w:t>5</w:t>
                  </w:r>
                  <w:r w:rsidRPr="00900BB1">
                    <w:rPr>
                      <w:rFonts w:ascii="Times New Roman" w:hAnsi="Times New Roman" w:cs="Times New Roman"/>
                      <w:sz w:val="16"/>
                      <w:szCs w:val="16"/>
                    </w:rPr>
                    <w:t>%</w:t>
                  </w:r>
                </w:p>
              </w:tc>
            </w:tr>
            <w:tr w:rsidR="00033C12" w:rsidRPr="00FD56BB" w14:paraId="17342E54" w14:textId="77777777" w:rsidTr="00FB3AC4">
              <w:trPr>
                <w:trHeight w:val="462"/>
              </w:trPr>
              <w:tc>
                <w:tcPr>
                  <w:tcW w:w="970" w:type="dxa"/>
                  <w:tcBorders>
                    <w:top w:val="single" w:sz="4" w:space="0" w:color="000000"/>
                    <w:left w:val="single" w:sz="4" w:space="0" w:color="000000"/>
                    <w:bottom w:val="single" w:sz="4" w:space="0" w:color="000000"/>
                  </w:tcBorders>
                  <w:vAlign w:val="center"/>
                </w:tcPr>
                <w:p w14:paraId="23B1965D"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Опція 3</w:t>
                  </w:r>
                </w:p>
              </w:tc>
              <w:tc>
                <w:tcPr>
                  <w:tcW w:w="3076" w:type="dxa"/>
                  <w:tcBorders>
                    <w:top w:val="single" w:sz="4" w:space="0" w:color="000000"/>
                    <w:left w:val="single" w:sz="4" w:space="0" w:color="000000"/>
                    <w:bottom w:val="single" w:sz="4" w:space="0" w:color="000000"/>
                  </w:tcBorders>
                  <w:vAlign w:val="center"/>
                </w:tcPr>
                <w:p w14:paraId="6EE22A53" w14:textId="77777777" w:rsidR="00033C12" w:rsidRPr="00FD56BB" w:rsidRDefault="00033C12" w:rsidP="00FB3AC4">
                  <w:pPr>
                    <w:tabs>
                      <w:tab w:val="left" w:pos="6096"/>
                    </w:tabs>
                    <w:spacing w:line="240" w:lineRule="atLeast"/>
                    <w:ind w:left="-38" w:right="142"/>
                    <w:jc w:val="both"/>
                    <w:rPr>
                      <w:rFonts w:ascii="Times New Roman" w:hAnsi="Times New Roman" w:cs="Times New Roman"/>
                      <w:sz w:val="16"/>
                      <w:szCs w:val="16"/>
                    </w:rPr>
                  </w:pPr>
                  <w:r w:rsidRPr="00FD56BB">
                    <w:rPr>
                      <w:rFonts w:ascii="Times New Roman" w:hAnsi="Times New Roman" w:cs="Times New Roman"/>
                      <w:sz w:val="16"/>
                      <w:szCs w:val="16"/>
                    </w:rPr>
                    <w:t xml:space="preserve">До 50 працівників </w:t>
                  </w:r>
                </w:p>
              </w:tc>
              <w:tc>
                <w:tcPr>
                  <w:tcW w:w="1291" w:type="dxa"/>
                  <w:tcBorders>
                    <w:top w:val="single" w:sz="4" w:space="0" w:color="000000"/>
                    <w:left w:val="single" w:sz="4" w:space="0" w:color="000000"/>
                    <w:bottom w:val="single" w:sz="4" w:space="0" w:color="000000"/>
                    <w:right w:val="single" w:sz="4" w:space="0" w:color="000000"/>
                  </w:tcBorders>
                  <w:vAlign w:val="center"/>
                </w:tcPr>
                <w:p w14:paraId="757EA95C"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0%</w:t>
                  </w:r>
                </w:p>
              </w:tc>
            </w:tr>
          </w:tbl>
          <w:p w14:paraId="47E20264" w14:textId="77777777" w:rsidR="00033C12" w:rsidRPr="00FD56BB" w:rsidRDefault="00033C12" w:rsidP="00FB3AC4">
            <w:pPr>
              <w:tabs>
                <w:tab w:val="left" w:pos="6096"/>
              </w:tabs>
              <w:spacing w:after="0" w:line="264" w:lineRule="auto"/>
              <w:ind w:right="142"/>
              <w:jc w:val="both"/>
              <w:rPr>
                <w:rFonts w:ascii="Times New Roman" w:hAnsi="Times New Roman" w:cs="Times New Roman"/>
                <w:lang w:eastAsia="ru-RU"/>
              </w:rPr>
            </w:pPr>
            <w:r w:rsidRPr="00FD56BB">
              <w:rPr>
                <w:rFonts w:ascii="Times New Roman" w:hAnsi="Times New Roman" w:cs="Times New Roman"/>
                <w:lang w:eastAsia="ru-RU"/>
              </w:rPr>
              <w:t xml:space="preserve">Середньо облікова кількість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за другий квартал 2023 року (подається у складі пропозиції). Розкриття пропозицій відбувається у порядку, передбаченому абзацами </w:t>
            </w:r>
            <w:hyperlink r:id="rId4" w:anchor="n1493" w:history="1">
              <w:r w:rsidRPr="00FD56BB">
                <w:rPr>
                  <w:rFonts w:ascii="Times New Roman" w:hAnsi="Times New Roman" w:cs="Times New Roman"/>
                  <w:lang w:eastAsia="ru-RU"/>
                </w:rPr>
                <w:t>першим</w:t>
              </w:r>
            </w:hyperlink>
            <w:r w:rsidRPr="00FD56BB">
              <w:rPr>
                <w:rFonts w:ascii="Times New Roman" w:hAnsi="Times New Roman" w:cs="Times New Roman"/>
                <w:lang w:eastAsia="ru-RU"/>
              </w:rPr>
              <w:t xml:space="preserve"> і </w:t>
            </w:r>
            <w:hyperlink r:id="rId5" w:anchor="n1494" w:history="1">
              <w:r w:rsidRPr="00FD56BB">
                <w:rPr>
                  <w:rFonts w:ascii="Times New Roman" w:hAnsi="Times New Roman" w:cs="Times New Roman"/>
                  <w:lang w:eastAsia="ru-RU"/>
                </w:rPr>
                <w:t>другим</w:t>
              </w:r>
            </w:hyperlink>
            <w:r w:rsidRPr="00FD56BB">
              <w:rPr>
                <w:rFonts w:ascii="Times New Roman" w:hAnsi="Times New Roman" w:cs="Times New Roman"/>
                <w:lang w:eastAsia="ru-RU"/>
              </w:rPr>
              <w:t xml:space="preserve"> частини першої статті 28 Закону. </w:t>
            </w:r>
            <w:bookmarkStart w:id="1" w:name="_Hlk81833527"/>
            <w:r w:rsidRPr="00FD56BB">
              <w:rPr>
                <w:rFonts w:ascii="Times New Roman" w:hAnsi="Times New Roman" w:cs="Times New Roman"/>
                <w:lang w:eastAsia="ru-RU"/>
              </w:rPr>
              <w:t>Ціна пропозиції вказується з ПДВ (стосується учасників, які є платниками ПДВ) та з урахуванням сплати всіх необхідних податків та зборів</w:t>
            </w:r>
            <w:bookmarkEnd w:id="1"/>
            <w:r w:rsidRPr="00FD56BB">
              <w:rPr>
                <w:rFonts w:ascii="Times New Roman" w:hAnsi="Times New Roman" w:cs="Times New Roman"/>
                <w:lang w:eastAsia="ru-RU"/>
              </w:rPr>
              <w:t xml:space="preserve">. </w:t>
            </w:r>
          </w:p>
          <w:p w14:paraId="448280CF" w14:textId="77777777" w:rsidR="00033C12" w:rsidRPr="00FD56BB" w:rsidRDefault="00033C12" w:rsidP="00FB3AC4">
            <w:pPr>
              <w:tabs>
                <w:tab w:val="left" w:pos="6096"/>
              </w:tabs>
              <w:spacing w:after="0" w:line="264" w:lineRule="auto"/>
              <w:ind w:right="142"/>
              <w:jc w:val="both"/>
              <w:rPr>
                <w:rFonts w:ascii="Times New Roman" w:hAnsi="Times New Roman" w:cs="Times New Roman"/>
                <w:lang w:eastAsia="ru-RU"/>
              </w:rPr>
            </w:pPr>
            <w:r w:rsidRPr="00FD56BB">
              <w:rPr>
                <w:rFonts w:ascii="Times New Roman" w:hAnsi="Times New Roman" w:cs="Times New Roman"/>
                <w:sz w:val="24"/>
                <w:szCs w:val="24"/>
                <w:lang w:eastAsia="ru-RU"/>
              </w:rPr>
              <w:t>Вид договірної ціни – динамічна</w:t>
            </w:r>
          </w:p>
          <w:p w14:paraId="5D944DCE" w14:textId="77777777" w:rsidR="00033C12" w:rsidRPr="00FD56BB" w:rsidRDefault="00033C12" w:rsidP="00FB3AC4">
            <w:pPr>
              <w:widowControl w:val="0"/>
              <w:spacing w:after="0" w:line="240" w:lineRule="auto"/>
              <w:jc w:val="both"/>
              <w:rPr>
                <w:rFonts w:ascii="Times New Roman" w:hAnsi="Times New Roman" w:cs="Times New Roman"/>
                <w:lang w:eastAsia="ru-RU"/>
              </w:rPr>
            </w:pPr>
            <w:r w:rsidRPr="00FD56BB">
              <w:rPr>
                <w:rFonts w:ascii="Times New Roman" w:hAnsi="Times New Roman" w:cs="Times New Roman"/>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w:t>
            </w:r>
            <w:r w:rsidRPr="00FD56BB">
              <w:rPr>
                <w:rFonts w:ascii="Times New Roman" w:hAnsi="Times New Roman" w:cs="Times New Roman"/>
                <w:lang w:eastAsia="ru-RU"/>
              </w:rPr>
              <w:lastRenderedPageBreak/>
              <w:t xml:space="preserve">що передбачені чинним законодавством, та мають бути включені таким учасником до вартості товарів, робіт або послуг. </w:t>
            </w:r>
          </w:p>
          <w:p w14:paraId="1D79B20D"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0B06ADF"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00D828"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A716CFF"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6F2CDC"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14:paraId="2018AC92"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Обґрунтування аномально низької тендерної пропозиції може містити інформацію про:</w:t>
            </w:r>
          </w:p>
          <w:p w14:paraId="6DA11CCD"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8DAD46A"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13CEBB"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3) отримання учасником державної допомоги згідно із законодавством.</w:t>
            </w:r>
          </w:p>
          <w:p w14:paraId="38EECF2D"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 xml:space="preserve">За результатами розгляду та оцінки тендерної пропозиції </w:t>
            </w:r>
            <w:r w:rsidRPr="00FD56BB">
              <w:rPr>
                <w:rFonts w:ascii="Times New Roman" w:hAnsi="Times New Roman" w:cs="Times New Roman"/>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C8EB2C3"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96CAC45" w14:textId="77777777" w:rsidR="00033C12" w:rsidRPr="00FD56BB" w:rsidRDefault="00033C12" w:rsidP="00FB3AC4">
            <w:pPr>
              <w:widowControl w:val="0"/>
              <w:tabs>
                <w:tab w:val="left" w:pos="5529"/>
              </w:tabs>
              <w:spacing w:after="0" w:line="228" w:lineRule="auto"/>
              <w:jc w:val="both"/>
              <w:rPr>
                <w:rFonts w:ascii="Times New Roman" w:hAnsi="Times New Roman" w:cs="Times New Roman"/>
              </w:rPr>
            </w:pPr>
            <w:r w:rsidRPr="00FD56BB">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19AD34" w14:textId="77777777" w:rsidR="00033C12" w:rsidRPr="00FD56BB" w:rsidRDefault="00033C12" w:rsidP="00FB3AC4">
            <w:pPr>
              <w:widowControl w:val="0"/>
              <w:shd w:val="clear" w:color="auto" w:fill="FFFFFF"/>
              <w:tabs>
                <w:tab w:val="left" w:pos="5529"/>
              </w:tabs>
              <w:spacing w:after="0" w:line="228" w:lineRule="auto"/>
              <w:jc w:val="both"/>
              <w:rPr>
                <w:rFonts w:ascii="Times New Roman" w:hAnsi="Times New Roman" w:cs="Times New Roman"/>
              </w:rPr>
            </w:pPr>
            <w:r w:rsidRPr="00FD56BB">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169170" w14:textId="77777777" w:rsidR="00033C12" w:rsidRPr="00FD56BB" w:rsidRDefault="00033C12" w:rsidP="00FB3AC4">
            <w:pPr>
              <w:widowControl w:val="0"/>
              <w:shd w:val="clear" w:color="auto" w:fill="FFFFFF"/>
              <w:tabs>
                <w:tab w:val="left" w:pos="5529"/>
              </w:tabs>
              <w:spacing w:after="0" w:line="228" w:lineRule="auto"/>
              <w:jc w:val="both"/>
              <w:rPr>
                <w:rFonts w:ascii="Times New Roman" w:hAnsi="Times New Roman" w:cs="Times New Roman"/>
              </w:rPr>
            </w:pPr>
            <w:r w:rsidRPr="00FD56BB">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D63E99"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2C1CF1"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5F2D95"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1464736A" w14:textId="77777777" w:rsidR="00033C12" w:rsidRPr="00FD56BB" w:rsidRDefault="00033C12" w:rsidP="00FB3AC4">
            <w:pPr>
              <w:widowControl w:val="0"/>
              <w:spacing w:after="0" w:line="240" w:lineRule="auto"/>
              <w:jc w:val="both"/>
              <w:rPr>
                <w:rFonts w:ascii="Times New Roman" w:hAnsi="Times New Roman" w:cs="Times New Roman"/>
                <w:sz w:val="24"/>
                <w:szCs w:val="24"/>
                <w:lang w:eastAsia="uk-UA"/>
              </w:rPr>
            </w:pPr>
            <w:r w:rsidRPr="00FD56BB">
              <w:rPr>
                <w:rFonts w:ascii="Times New Roman" w:hAnsi="Times New Roman" w:cs="Times New Roman"/>
              </w:rPr>
              <w:t xml:space="preserve">У разі відхилення тендерної пропозиції з підстави, визначеної підпунктом 3 пункту 44 особливостей, замовник визначає </w:t>
            </w:r>
            <w:r w:rsidRPr="00FD56BB">
              <w:rPr>
                <w:rFonts w:ascii="Times New Roman" w:hAnsi="Times New Roman" w:cs="Times New Roman"/>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bl>
    <w:p w14:paraId="415A381D" w14:textId="4CB56C5D" w:rsidR="00033C12" w:rsidRDefault="00033C12" w:rsidP="00033C12">
      <w:pPr>
        <w:jc w:val="center"/>
      </w:pPr>
      <w:r>
        <w:lastRenderedPageBreak/>
        <w:t>Нова редакція</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6329"/>
        <w:gridCol w:w="516"/>
      </w:tblGrid>
      <w:tr w:rsidR="00033C12" w:rsidRPr="00FD56BB" w14:paraId="7B6DB42E" w14:textId="77777777" w:rsidTr="00FB3AC4">
        <w:trPr>
          <w:trHeight w:val="522"/>
          <w:jc w:val="center"/>
        </w:trPr>
        <w:tc>
          <w:tcPr>
            <w:tcW w:w="10344" w:type="dxa"/>
            <w:gridSpan w:val="3"/>
            <w:shd w:val="clear" w:color="auto" w:fill="A5A5A5"/>
          </w:tcPr>
          <w:p w14:paraId="19F8DE1D" w14:textId="77777777" w:rsidR="00033C12" w:rsidRPr="00FD56BB" w:rsidRDefault="00033C12" w:rsidP="00FB3AC4">
            <w:pPr>
              <w:widowControl w:val="0"/>
              <w:spacing w:after="0" w:line="240" w:lineRule="auto"/>
              <w:jc w:val="both"/>
              <w:rPr>
                <w:rFonts w:ascii="Times New Roman" w:hAnsi="Times New Roman" w:cs="Times New Roman"/>
                <w:b/>
                <w:bCs/>
                <w:sz w:val="24"/>
                <w:szCs w:val="24"/>
              </w:rPr>
            </w:pPr>
            <w:r w:rsidRPr="00FD56BB">
              <w:rPr>
                <w:rFonts w:ascii="Times New Roman" w:hAnsi="Times New Roman" w:cs="Times New Roman"/>
                <w:b/>
                <w:bCs/>
                <w:sz w:val="24"/>
                <w:szCs w:val="24"/>
              </w:rPr>
              <w:t>Розділ V. Оцінка тендерної пропозиції</w:t>
            </w:r>
          </w:p>
        </w:tc>
      </w:tr>
      <w:tr w:rsidR="00033C12" w:rsidRPr="00FD56BB" w14:paraId="4E02A0AF" w14:textId="77777777" w:rsidTr="00FB3AC4">
        <w:trPr>
          <w:gridAfter w:val="1"/>
          <w:wAfter w:w="499" w:type="dxa"/>
          <w:trHeight w:val="522"/>
          <w:jc w:val="center"/>
        </w:trPr>
        <w:tc>
          <w:tcPr>
            <w:tcW w:w="3499" w:type="dxa"/>
          </w:tcPr>
          <w:p w14:paraId="3AA64B03" w14:textId="77777777" w:rsidR="00033C12" w:rsidRPr="00FD56BB" w:rsidRDefault="00033C12" w:rsidP="00FB3AC4">
            <w:pPr>
              <w:widowControl w:val="0"/>
              <w:spacing w:after="0" w:line="240" w:lineRule="auto"/>
              <w:jc w:val="both"/>
              <w:rPr>
                <w:rFonts w:ascii="Times New Roman" w:hAnsi="Times New Roman" w:cs="Times New Roman"/>
                <w:b/>
                <w:bCs/>
                <w:sz w:val="24"/>
                <w:szCs w:val="24"/>
                <w:lang w:eastAsia="uk-UA"/>
              </w:rPr>
            </w:pPr>
            <w:r w:rsidRPr="00FD56BB">
              <w:rPr>
                <w:rFonts w:ascii="Times New Roman" w:hAnsi="Times New Roman" w:cs="Times New Roman"/>
                <w:b/>
                <w:bCs/>
                <w:sz w:val="24"/>
                <w:szCs w:val="24"/>
                <w:lang w:eastAsia="uk-UA"/>
              </w:rPr>
              <w:t>Перелік критеріїв та методика оцінки тендерної пропозиції із зазначенням питомої ваги критерію</w:t>
            </w:r>
          </w:p>
        </w:tc>
        <w:tc>
          <w:tcPr>
            <w:tcW w:w="6329" w:type="dxa"/>
          </w:tcPr>
          <w:p w14:paraId="18988723"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Оцінка пропозицій здійснюється на основі наступних критеріїв:</w:t>
            </w:r>
          </w:p>
          <w:p w14:paraId="2E850369"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1. Питома вага по критерію «Ціна» - 70%.</w:t>
            </w:r>
          </w:p>
          <w:p w14:paraId="3FE0A7BD"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2. Питома вага по критерію «Середньо облікова кількість штатних працівників» — 30%.</w:t>
            </w:r>
          </w:p>
          <w:p w14:paraId="288FDA46"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Пропозиція, подана учасником, оцінюється замовником за приведеною ціною, яка розраховується автоматично електронною системою закупівель на момент подання пропозиції учасником за математичною формулою</w:t>
            </w:r>
          </w:p>
          <w:p w14:paraId="31B57663"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РР = P/(1+(F1+F2+...+</w:t>
            </w:r>
            <w:proofErr w:type="spellStart"/>
            <w:r w:rsidRPr="00FD56BB">
              <w:rPr>
                <w:rFonts w:ascii="Times New Roman" w:hAnsi="Times New Roman" w:cs="Times New Roman"/>
                <w:lang w:eastAsia="ru-RU"/>
              </w:rPr>
              <w:t>Fn</w:t>
            </w:r>
            <w:proofErr w:type="spellEnd"/>
            <w:r w:rsidRPr="00FD56BB">
              <w:rPr>
                <w:rFonts w:ascii="Times New Roman" w:hAnsi="Times New Roman" w:cs="Times New Roman"/>
                <w:lang w:eastAsia="ru-RU"/>
              </w:rPr>
              <w:t>)/PV, де</w:t>
            </w:r>
          </w:p>
          <w:p w14:paraId="198B8E55"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РР – приведена ціна;</w:t>
            </w:r>
          </w:p>
          <w:p w14:paraId="19E0089B"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P – ціна;</w:t>
            </w:r>
          </w:p>
          <w:p w14:paraId="42B6DEDA"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F1...</w:t>
            </w:r>
            <w:proofErr w:type="spellStart"/>
            <w:r w:rsidRPr="00FD56BB">
              <w:rPr>
                <w:rFonts w:ascii="Times New Roman" w:hAnsi="Times New Roman" w:cs="Times New Roman"/>
                <w:lang w:eastAsia="ru-RU"/>
              </w:rPr>
              <w:t>Fn</w:t>
            </w:r>
            <w:proofErr w:type="spellEnd"/>
            <w:r w:rsidRPr="00FD56BB">
              <w:rPr>
                <w:rFonts w:ascii="Times New Roman" w:hAnsi="Times New Roman" w:cs="Times New Roman"/>
                <w:lang w:eastAsia="ru-RU"/>
              </w:rPr>
              <w:t>– питома вага інших критеріїв оцінки, запропонованих Учасником;</w:t>
            </w:r>
          </w:p>
          <w:p w14:paraId="7C90220A"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PV – питома вага критерію “ціна”.</w:t>
            </w:r>
          </w:p>
          <w:p w14:paraId="4076D976" w14:textId="77777777" w:rsidR="00033C12" w:rsidRPr="00FD56BB" w:rsidRDefault="00033C12" w:rsidP="00FB3AC4">
            <w:pPr>
              <w:tabs>
                <w:tab w:val="left" w:pos="2040"/>
              </w:tabs>
              <w:spacing w:after="0"/>
              <w:jc w:val="both"/>
              <w:rPr>
                <w:rFonts w:ascii="Times New Roman" w:hAnsi="Times New Roman" w:cs="Times New Roman"/>
                <w:lang w:eastAsia="ru-RU"/>
              </w:rPr>
            </w:pPr>
            <w:r w:rsidRPr="00FD56BB">
              <w:rPr>
                <w:rFonts w:ascii="Times New Roman" w:hAnsi="Times New Roman" w:cs="Times New Roman"/>
                <w:lang w:eastAsia="ru-RU"/>
              </w:rPr>
              <w:t>Питома вага критерію ціна (PV) становить 70%.</w:t>
            </w:r>
          </w:p>
          <w:tbl>
            <w:tblPr>
              <w:tblW w:w="5337" w:type="dxa"/>
              <w:tblInd w:w="3" w:type="dxa"/>
              <w:tblLook w:val="0000" w:firstRow="0" w:lastRow="0" w:firstColumn="0" w:lastColumn="0" w:noHBand="0" w:noVBand="0"/>
            </w:tblPr>
            <w:tblGrid>
              <w:gridCol w:w="970"/>
              <w:gridCol w:w="3076"/>
              <w:gridCol w:w="1291"/>
            </w:tblGrid>
            <w:tr w:rsidR="00033C12" w:rsidRPr="00FD56BB" w14:paraId="2E35ABF9" w14:textId="77777777" w:rsidTr="00FB3AC4">
              <w:trPr>
                <w:trHeight w:val="1389"/>
              </w:trPr>
              <w:tc>
                <w:tcPr>
                  <w:tcW w:w="970" w:type="dxa"/>
                  <w:tcBorders>
                    <w:top w:val="single" w:sz="4" w:space="0" w:color="000000"/>
                    <w:left w:val="single" w:sz="4" w:space="0" w:color="000000"/>
                    <w:bottom w:val="single" w:sz="4" w:space="0" w:color="000000"/>
                  </w:tcBorders>
                  <w:vAlign w:val="center"/>
                </w:tcPr>
                <w:p w14:paraId="2A815936"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№п/п</w:t>
                  </w:r>
                </w:p>
              </w:tc>
              <w:tc>
                <w:tcPr>
                  <w:tcW w:w="3076" w:type="dxa"/>
                  <w:tcBorders>
                    <w:top w:val="single" w:sz="4" w:space="0" w:color="000000"/>
                    <w:left w:val="single" w:sz="4" w:space="0" w:color="000000"/>
                    <w:bottom w:val="single" w:sz="4" w:space="0" w:color="000000"/>
                  </w:tcBorders>
                  <w:vAlign w:val="center"/>
                </w:tcPr>
                <w:p w14:paraId="3F484230"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Найменування критерію</w:t>
                  </w:r>
                </w:p>
              </w:tc>
              <w:tc>
                <w:tcPr>
                  <w:tcW w:w="1291" w:type="dxa"/>
                  <w:tcBorders>
                    <w:top w:val="single" w:sz="4" w:space="0" w:color="000000"/>
                    <w:left w:val="single" w:sz="4" w:space="0" w:color="000000"/>
                    <w:bottom w:val="single" w:sz="4" w:space="0" w:color="000000"/>
                    <w:right w:val="single" w:sz="4" w:space="0" w:color="000000"/>
                  </w:tcBorders>
                  <w:vAlign w:val="center"/>
                </w:tcPr>
                <w:p w14:paraId="521FEF8C"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Вартісний еквівалент або питома вага (%)</w:t>
                  </w:r>
                </w:p>
              </w:tc>
            </w:tr>
            <w:tr w:rsidR="00033C12" w:rsidRPr="00FD56BB" w14:paraId="024B30DF" w14:textId="77777777" w:rsidTr="00FB3AC4">
              <w:trPr>
                <w:trHeight w:val="694"/>
              </w:trPr>
              <w:tc>
                <w:tcPr>
                  <w:tcW w:w="970" w:type="dxa"/>
                  <w:tcBorders>
                    <w:top w:val="single" w:sz="4" w:space="0" w:color="000000"/>
                    <w:left w:val="single" w:sz="4" w:space="0" w:color="000000"/>
                    <w:bottom w:val="single" w:sz="4" w:space="0" w:color="000000"/>
                  </w:tcBorders>
                  <w:vAlign w:val="center"/>
                </w:tcPr>
                <w:p w14:paraId="5C132854"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b/>
                      <w:bCs/>
                      <w:sz w:val="16"/>
                      <w:szCs w:val="16"/>
                    </w:rPr>
                    <w:t>1.</w:t>
                  </w:r>
                </w:p>
              </w:tc>
              <w:tc>
                <w:tcPr>
                  <w:tcW w:w="3076" w:type="dxa"/>
                  <w:tcBorders>
                    <w:top w:val="single" w:sz="4" w:space="0" w:color="000000"/>
                    <w:left w:val="single" w:sz="4" w:space="0" w:color="000000"/>
                    <w:bottom w:val="single" w:sz="4" w:space="0" w:color="000000"/>
                  </w:tcBorders>
                </w:tcPr>
                <w:p w14:paraId="65FEF32F" w14:textId="77777777" w:rsidR="00033C12" w:rsidRPr="00FD56BB" w:rsidRDefault="00033C12" w:rsidP="00FB3AC4">
                  <w:pPr>
                    <w:tabs>
                      <w:tab w:val="left" w:pos="6096"/>
                    </w:tabs>
                    <w:spacing w:line="240" w:lineRule="atLeast"/>
                    <w:ind w:left="51" w:right="142"/>
                    <w:jc w:val="both"/>
                    <w:rPr>
                      <w:rFonts w:ascii="Times New Roman" w:hAnsi="Times New Roman" w:cs="Times New Roman"/>
                      <w:sz w:val="16"/>
                      <w:szCs w:val="16"/>
                    </w:rPr>
                  </w:pPr>
                  <w:r w:rsidRPr="00FD56BB">
                    <w:rPr>
                      <w:rFonts w:ascii="Times New Roman" w:hAnsi="Times New Roman" w:cs="Times New Roman"/>
                      <w:sz w:val="16"/>
                      <w:szCs w:val="16"/>
                    </w:rPr>
                    <w:t>Середньооблікова кількість штатних працівників</w:t>
                  </w:r>
                </w:p>
              </w:tc>
              <w:tc>
                <w:tcPr>
                  <w:tcW w:w="1291" w:type="dxa"/>
                  <w:tcBorders>
                    <w:top w:val="single" w:sz="4" w:space="0" w:color="000000"/>
                    <w:left w:val="single" w:sz="4" w:space="0" w:color="000000"/>
                    <w:bottom w:val="single" w:sz="4" w:space="0" w:color="000000"/>
                    <w:right w:val="single" w:sz="4" w:space="0" w:color="000000"/>
                  </w:tcBorders>
                  <w:vAlign w:val="center"/>
                </w:tcPr>
                <w:p w14:paraId="00C435A8" w14:textId="77777777" w:rsidR="00033C12" w:rsidRPr="00FD56BB" w:rsidRDefault="00033C12" w:rsidP="00FB3AC4">
                  <w:pPr>
                    <w:tabs>
                      <w:tab w:val="left" w:pos="6096"/>
                    </w:tabs>
                    <w:spacing w:line="240" w:lineRule="atLeast"/>
                    <w:ind w:left="51" w:right="142"/>
                    <w:jc w:val="center"/>
                    <w:rPr>
                      <w:rFonts w:ascii="Times New Roman" w:hAnsi="Times New Roman" w:cs="Times New Roman"/>
                      <w:sz w:val="16"/>
                      <w:szCs w:val="16"/>
                    </w:rPr>
                  </w:pPr>
                </w:p>
              </w:tc>
            </w:tr>
            <w:tr w:rsidR="00033C12" w:rsidRPr="00FD56BB" w14:paraId="45F8746F" w14:textId="77777777" w:rsidTr="00FB3AC4">
              <w:trPr>
                <w:trHeight w:val="448"/>
              </w:trPr>
              <w:tc>
                <w:tcPr>
                  <w:tcW w:w="970" w:type="dxa"/>
                  <w:tcBorders>
                    <w:top w:val="single" w:sz="4" w:space="0" w:color="000000"/>
                    <w:left w:val="single" w:sz="4" w:space="0" w:color="000000"/>
                    <w:bottom w:val="single" w:sz="4" w:space="0" w:color="000000"/>
                  </w:tcBorders>
                  <w:vAlign w:val="center"/>
                </w:tcPr>
                <w:p w14:paraId="199E8F64"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Опція 1</w:t>
                  </w:r>
                </w:p>
              </w:tc>
              <w:tc>
                <w:tcPr>
                  <w:tcW w:w="3076" w:type="dxa"/>
                  <w:tcBorders>
                    <w:top w:val="single" w:sz="4" w:space="0" w:color="000000"/>
                    <w:left w:val="single" w:sz="4" w:space="0" w:color="000000"/>
                    <w:bottom w:val="single" w:sz="4" w:space="0" w:color="000000"/>
                  </w:tcBorders>
                  <w:vAlign w:val="center"/>
                </w:tcPr>
                <w:p w14:paraId="72EFAD07" w14:textId="77777777" w:rsidR="00033C12" w:rsidRPr="00FD56BB" w:rsidRDefault="00033C12" w:rsidP="00FB3AC4">
                  <w:pPr>
                    <w:tabs>
                      <w:tab w:val="left" w:pos="6096"/>
                    </w:tabs>
                    <w:spacing w:line="240" w:lineRule="atLeast"/>
                    <w:ind w:left="-38" w:right="142"/>
                    <w:jc w:val="both"/>
                    <w:rPr>
                      <w:rFonts w:ascii="Times New Roman" w:hAnsi="Times New Roman" w:cs="Times New Roman"/>
                      <w:sz w:val="16"/>
                      <w:szCs w:val="16"/>
                    </w:rPr>
                  </w:pPr>
                  <w:r w:rsidRPr="00FD56BB">
                    <w:rPr>
                      <w:rFonts w:ascii="Times New Roman" w:hAnsi="Times New Roman" w:cs="Times New Roman"/>
                      <w:sz w:val="16"/>
                      <w:szCs w:val="16"/>
                    </w:rPr>
                    <w:t>Від 60 працівників і більше</w:t>
                  </w:r>
                </w:p>
              </w:tc>
              <w:tc>
                <w:tcPr>
                  <w:tcW w:w="1291" w:type="dxa"/>
                  <w:tcBorders>
                    <w:top w:val="single" w:sz="4" w:space="0" w:color="000000"/>
                    <w:left w:val="single" w:sz="4" w:space="0" w:color="000000"/>
                    <w:bottom w:val="single" w:sz="4" w:space="0" w:color="000000"/>
                    <w:right w:val="single" w:sz="4" w:space="0" w:color="000000"/>
                  </w:tcBorders>
                  <w:vAlign w:val="center"/>
                </w:tcPr>
                <w:p w14:paraId="6FCDD1D9"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Pr>
                      <w:rFonts w:ascii="Times New Roman" w:hAnsi="Times New Roman" w:cs="Times New Roman"/>
                      <w:sz w:val="16"/>
                      <w:szCs w:val="16"/>
                    </w:rPr>
                    <w:t>30</w:t>
                  </w:r>
                  <w:r w:rsidRPr="00FD56BB">
                    <w:rPr>
                      <w:rFonts w:ascii="Times New Roman" w:hAnsi="Times New Roman" w:cs="Times New Roman"/>
                      <w:sz w:val="16"/>
                      <w:szCs w:val="16"/>
                    </w:rPr>
                    <w:t>%</w:t>
                  </w:r>
                </w:p>
              </w:tc>
            </w:tr>
            <w:tr w:rsidR="00033C12" w:rsidRPr="00FD56BB" w14:paraId="2B12430F" w14:textId="77777777" w:rsidTr="00FB3AC4">
              <w:trPr>
                <w:trHeight w:val="462"/>
              </w:trPr>
              <w:tc>
                <w:tcPr>
                  <w:tcW w:w="970" w:type="dxa"/>
                  <w:tcBorders>
                    <w:top w:val="single" w:sz="4" w:space="0" w:color="000000"/>
                    <w:left w:val="single" w:sz="4" w:space="0" w:color="000000"/>
                    <w:bottom w:val="single" w:sz="4" w:space="0" w:color="000000"/>
                  </w:tcBorders>
                  <w:vAlign w:val="center"/>
                </w:tcPr>
                <w:p w14:paraId="679790E0" w14:textId="77777777" w:rsidR="00033C12" w:rsidRPr="00900BB1" w:rsidRDefault="00033C12" w:rsidP="00FB3AC4">
                  <w:pPr>
                    <w:rPr>
                      <w:rFonts w:ascii="Times New Roman" w:hAnsi="Times New Roman" w:cs="Times New Roman"/>
                      <w:sz w:val="16"/>
                      <w:szCs w:val="16"/>
                    </w:rPr>
                  </w:pPr>
                  <w:r w:rsidRPr="00900BB1">
                    <w:rPr>
                      <w:rFonts w:ascii="Times New Roman" w:hAnsi="Times New Roman" w:cs="Times New Roman"/>
                      <w:sz w:val="16"/>
                      <w:szCs w:val="16"/>
                    </w:rPr>
                    <w:t>Опція 2</w:t>
                  </w:r>
                </w:p>
              </w:tc>
              <w:tc>
                <w:tcPr>
                  <w:tcW w:w="3076" w:type="dxa"/>
                  <w:tcBorders>
                    <w:top w:val="single" w:sz="4" w:space="0" w:color="000000"/>
                    <w:left w:val="single" w:sz="4" w:space="0" w:color="000000"/>
                    <w:bottom w:val="single" w:sz="4" w:space="0" w:color="000000"/>
                  </w:tcBorders>
                  <w:vAlign w:val="center"/>
                </w:tcPr>
                <w:p w14:paraId="3C9DD750" w14:textId="77777777" w:rsidR="00033C12" w:rsidRPr="00900BB1" w:rsidRDefault="00033C12" w:rsidP="00FB3AC4">
                  <w:pPr>
                    <w:rPr>
                      <w:rFonts w:ascii="Times New Roman" w:hAnsi="Times New Roman" w:cs="Times New Roman"/>
                      <w:sz w:val="16"/>
                      <w:szCs w:val="16"/>
                    </w:rPr>
                  </w:pPr>
                  <w:r w:rsidRPr="00900BB1">
                    <w:rPr>
                      <w:rFonts w:ascii="Times New Roman" w:hAnsi="Times New Roman" w:cs="Times New Roman"/>
                      <w:sz w:val="16"/>
                      <w:szCs w:val="16"/>
                    </w:rPr>
                    <w:t>Від 55 включно до 59 працівників</w:t>
                  </w:r>
                </w:p>
              </w:tc>
              <w:tc>
                <w:tcPr>
                  <w:tcW w:w="1291" w:type="dxa"/>
                  <w:tcBorders>
                    <w:top w:val="single" w:sz="4" w:space="0" w:color="000000"/>
                    <w:left w:val="single" w:sz="4" w:space="0" w:color="000000"/>
                    <w:bottom w:val="single" w:sz="4" w:space="0" w:color="000000"/>
                    <w:right w:val="single" w:sz="4" w:space="0" w:color="000000"/>
                  </w:tcBorders>
                  <w:vAlign w:val="center"/>
                </w:tcPr>
                <w:p w14:paraId="0E59EE29" w14:textId="77777777" w:rsidR="00033C12" w:rsidRPr="00900BB1" w:rsidRDefault="00033C12" w:rsidP="00FB3AC4">
                  <w:pPr>
                    <w:jc w:val="center"/>
                    <w:rPr>
                      <w:rFonts w:ascii="Times New Roman" w:hAnsi="Times New Roman" w:cs="Times New Roman"/>
                      <w:sz w:val="16"/>
                      <w:szCs w:val="16"/>
                    </w:rPr>
                  </w:pPr>
                  <w:r>
                    <w:rPr>
                      <w:rFonts w:ascii="Times New Roman" w:hAnsi="Times New Roman" w:cs="Times New Roman"/>
                      <w:sz w:val="16"/>
                      <w:szCs w:val="16"/>
                    </w:rPr>
                    <w:t>10</w:t>
                  </w:r>
                  <w:r w:rsidRPr="00900BB1">
                    <w:rPr>
                      <w:rFonts w:ascii="Times New Roman" w:hAnsi="Times New Roman" w:cs="Times New Roman"/>
                      <w:sz w:val="16"/>
                      <w:szCs w:val="16"/>
                    </w:rPr>
                    <w:t>%</w:t>
                  </w:r>
                </w:p>
              </w:tc>
            </w:tr>
            <w:tr w:rsidR="00033C12" w:rsidRPr="00FD56BB" w14:paraId="22553A5B" w14:textId="77777777" w:rsidTr="00FB3AC4">
              <w:trPr>
                <w:trHeight w:val="462"/>
              </w:trPr>
              <w:tc>
                <w:tcPr>
                  <w:tcW w:w="970" w:type="dxa"/>
                  <w:tcBorders>
                    <w:top w:val="single" w:sz="4" w:space="0" w:color="000000"/>
                    <w:left w:val="single" w:sz="4" w:space="0" w:color="000000"/>
                    <w:bottom w:val="single" w:sz="4" w:space="0" w:color="000000"/>
                  </w:tcBorders>
                  <w:vAlign w:val="center"/>
                </w:tcPr>
                <w:p w14:paraId="76A357B5"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Опція 3</w:t>
                  </w:r>
                </w:p>
              </w:tc>
              <w:tc>
                <w:tcPr>
                  <w:tcW w:w="3076" w:type="dxa"/>
                  <w:tcBorders>
                    <w:top w:val="single" w:sz="4" w:space="0" w:color="000000"/>
                    <w:left w:val="single" w:sz="4" w:space="0" w:color="000000"/>
                    <w:bottom w:val="single" w:sz="4" w:space="0" w:color="000000"/>
                  </w:tcBorders>
                  <w:vAlign w:val="center"/>
                </w:tcPr>
                <w:p w14:paraId="7368C2F9" w14:textId="77777777" w:rsidR="00033C12" w:rsidRPr="00FD56BB" w:rsidRDefault="00033C12" w:rsidP="00FB3AC4">
                  <w:pPr>
                    <w:tabs>
                      <w:tab w:val="left" w:pos="6096"/>
                    </w:tabs>
                    <w:spacing w:line="240" w:lineRule="atLeast"/>
                    <w:ind w:left="-38" w:right="142"/>
                    <w:jc w:val="both"/>
                    <w:rPr>
                      <w:rFonts w:ascii="Times New Roman" w:hAnsi="Times New Roman" w:cs="Times New Roman"/>
                      <w:sz w:val="16"/>
                      <w:szCs w:val="16"/>
                    </w:rPr>
                  </w:pPr>
                  <w:r w:rsidRPr="00FD56BB">
                    <w:rPr>
                      <w:rFonts w:ascii="Times New Roman" w:hAnsi="Times New Roman" w:cs="Times New Roman"/>
                      <w:sz w:val="16"/>
                      <w:szCs w:val="16"/>
                    </w:rPr>
                    <w:t xml:space="preserve">До 50 працівників </w:t>
                  </w:r>
                </w:p>
              </w:tc>
              <w:tc>
                <w:tcPr>
                  <w:tcW w:w="1291" w:type="dxa"/>
                  <w:tcBorders>
                    <w:top w:val="single" w:sz="4" w:space="0" w:color="000000"/>
                    <w:left w:val="single" w:sz="4" w:space="0" w:color="000000"/>
                    <w:bottom w:val="single" w:sz="4" w:space="0" w:color="000000"/>
                    <w:right w:val="single" w:sz="4" w:space="0" w:color="000000"/>
                  </w:tcBorders>
                  <w:vAlign w:val="center"/>
                </w:tcPr>
                <w:p w14:paraId="150CACFE" w14:textId="77777777" w:rsidR="00033C12" w:rsidRPr="00FD56BB" w:rsidRDefault="00033C12" w:rsidP="00FB3AC4">
                  <w:pPr>
                    <w:tabs>
                      <w:tab w:val="left" w:pos="6096"/>
                    </w:tabs>
                    <w:spacing w:line="240" w:lineRule="atLeast"/>
                    <w:ind w:left="-38" w:right="142"/>
                    <w:jc w:val="center"/>
                    <w:rPr>
                      <w:rFonts w:ascii="Times New Roman" w:hAnsi="Times New Roman" w:cs="Times New Roman"/>
                      <w:sz w:val="16"/>
                      <w:szCs w:val="16"/>
                    </w:rPr>
                  </w:pPr>
                  <w:r w:rsidRPr="00FD56BB">
                    <w:rPr>
                      <w:rFonts w:ascii="Times New Roman" w:hAnsi="Times New Roman" w:cs="Times New Roman"/>
                      <w:sz w:val="16"/>
                      <w:szCs w:val="16"/>
                    </w:rPr>
                    <w:t>0%</w:t>
                  </w:r>
                </w:p>
              </w:tc>
            </w:tr>
          </w:tbl>
          <w:p w14:paraId="3AAC83BC" w14:textId="77777777" w:rsidR="00033C12" w:rsidRPr="00FD56BB" w:rsidRDefault="00033C12" w:rsidP="00FB3AC4">
            <w:pPr>
              <w:tabs>
                <w:tab w:val="left" w:pos="6096"/>
              </w:tabs>
              <w:spacing w:after="0" w:line="264" w:lineRule="auto"/>
              <w:ind w:right="142"/>
              <w:jc w:val="both"/>
              <w:rPr>
                <w:rFonts w:ascii="Times New Roman" w:hAnsi="Times New Roman" w:cs="Times New Roman"/>
                <w:lang w:eastAsia="ru-RU"/>
              </w:rPr>
            </w:pPr>
            <w:r w:rsidRPr="00FD56BB">
              <w:rPr>
                <w:rFonts w:ascii="Times New Roman" w:hAnsi="Times New Roman" w:cs="Times New Roman"/>
                <w:lang w:eastAsia="ru-RU"/>
              </w:rPr>
              <w:t xml:space="preserve">Середньо облікова кількість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за другий квартал 2023 року (подається у складі пропозиції). Розкриття пропозицій відбувається у порядку, передбаченому абзацами </w:t>
            </w:r>
            <w:hyperlink r:id="rId6" w:anchor="n1493" w:history="1">
              <w:r w:rsidRPr="00FD56BB">
                <w:rPr>
                  <w:rFonts w:ascii="Times New Roman" w:hAnsi="Times New Roman" w:cs="Times New Roman"/>
                  <w:lang w:eastAsia="ru-RU"/>
                </w:rPr>
                <w:t>першим</w:t>
              </w:r>
            </w:hyperlink>
            <w:r w:rsidRPr="00FD56BB">
              <w:rPr>
                <w:rFonts w:ascii="Times New Roman" w:hAnsi="Times New Roman" w:cs="Times New Roman"/>
                <w:lang w:eastAsia="ru-RU"/>
              </w:rPr>
              <w:t xml:space="preserve"> і </w:t>
            </w:r>
            <w:hyperlink r:id="rId7" w:anchor="n1494" w:history="1">
              <w:r w:rsidRPr="00FD56BB">
                <w:rPr>
                  <w:rFonts w:ascii="Times New Roman" w:hAnsi="Times New Roman" w:cs="Times New Roman"/>
                  <w:lang w:eastAsia="ru-RU"/>
                </w:rPr>
                <w:t>другим</w:t>
              </w:r>
            </w:hyperlink>
            <w:r w:rsidRPr="00FD56BB">
              <w:rPr>
                <w:rFonts w:ascii="Times New Roman" w:hAnsi="Times New Roman" w:cs="Times New Roman"/>
                <w:lang w:eastAsia="ru-RU"/>
              </w:rPr>
              <w:t xml:space="preserve"> частини першої статті 28 Закону. Ціна пропозиції вказується з ПДВ (стосується учасників, які є платниками ПДВ) та з урахуванням сплати всіх необхідних податків та зборів. </w:t>
            </w:r>
          </w:p>
          <w:p w14:paraId="07469280" w14:textId="77777777" w:rsidR="00033C12" w:rsidRPr="00FD56BB" w:rsidRDefault="00033C12" w:rsidP="00FB3AC4">
            <w:pPr>
              <w:tabs>
                <w:tab w:val="left" w:pos="6096"/>
              </w:tabs>
              <w:spacing w:after="0" w:line="264" w:lineRule="auto"/>
              <w:ind w:right="142"/>
              <w:jc w:val="both"/>
              <w:rPr>
                <w:rFonts w:ascii="Times New Roman" w:hAnsi="Times New Roman" w:cs="Times New Roman"/>
                <w:lang w:eastAsia="ru-RU"/>
              </w:rPr>
            </w:pPr>
            <w:r w:rsidRPr="00FD56BB">
              <w:rPr>
                <w:rFonts w:ascii="Times New Roman" w:hAnsi="Times New Roman" w:cs="Times New Roman"/>
                <w:sz w:val="24"/>
                <w:szCs w:val="24"/>
                <w:lang w:eastAsia="ru-RU"/>
              </w:rPr>
              <w:t>Вид договірної ціни – динамічна</w:t>
            </w:r>
          </w:p>
          <w:p w14:paraId="396EEBC0" w14:textId="77777777" w:rsidR="00033C12" w:rsidRPr="00FD56BB" w:rsidRDefault="00033C12" w:rsidP="00FB3AC4">
            <w:pPr>
              <w:widowControl w:val="0"/>
              <w:spacing w:after="0" w:line="240" w:lineRule="auto"/>
              <w:jc w:val="both"/>
              <w:rPr>
                <w:rFonts w:ascii="Times New Roman" w:hAnsi="Times New Roman" w:cs="Times New Roman"/>
                <w:lang w:eastAsia="ru-RU"/>
              </w:rPr>
            </w:pPr>
            <w:r w:rsidRPr="00FD56BB">
              <w:rPr>
                <w:rFonts w:ascii="Times New Roman" w:hAnsi="Times New Roman" w:cs="Times New Roman"/>
                <w:lang w:eastAsia="ru-RU"/>
              </w:rPr>
              <w:t xml:space="preserve">1.3. До оцінки тендерних пропозицій приймається сума, що становить загальну вартість тендерної пропозиції кожного </w:t>
            </w:r>
            <w:r w:rsidRPr="00FD56BB">
              <w:rPr>
                <w:rFonts w:ascii="Times New Roman" w:hAnsi="Times New Roman" w:cs="Times New Roman"/>
                <w:lang w:eastAsia="ru-RU"/>
              </w:rPr>
              <w:lastRenderedPageBreak/>
              <w:t xml:space="preserve">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6F5707E1"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8D6287D"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DC3706"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7D37C581"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A0EE62"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14:paraId="3BE5FDA5"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Обґрунтування аномально низької тендерної пропозиції може містити інформацію про:</w:t>
            </w:r>
          </w:p>
          <w:p w14:paraId="014066D5"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EB59C39"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 xml:space="preserve">2) сприятливі умови, за яких учасник може поставити товари, </w:t>
            </w:r>
            <w:r w:rsidRPr="00FD56BB">
              <w:rPr>
                <w:rFonts w:ascii="Times New Roman" w:hAnsi="Times New Roman" w:cs="Times New Roman"/>
              </w:rPr>
              <w:lastRenderedPageBreak/>
              <w:t>надати послуги чи виконати роботи, зокрема спеціальна цінова пропозиція (знижка) учасника;</w:t>
            </w:r>
          </w:p>
          <w:p w14:paraId="3836FBF1"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3) отримання учасником державної допомоги згідно із законодавством.</w:t>
            </w:r>
          </w:p>
          <w:p w14:paraId="306C2B99"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0D1630D"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D1B4BA" w14:textId="77777777" w:rsidR="00033C12" w:rsidRPr="00FD56BB" w:rsidRDefault="00033C12" w:rsidP="00FB3AC4">
            <w:pPr>
              <w:widowControl w:val="0"/>
              <w:tabs>
                <w:tab w:val="left" w:pos="5529"/>
              </w:tabs>
              <w:spacing w:after="0" w:line="228" w:lineRule="auto"/>
              <w:jc w:val="both"/>
              <w:rPr>
                <w:rFonts w:ascii="Times New Roman" w:hAnsi="Times New Roman" w:cs="Times New Roman"/>
              </w:rPr>
            </w:pPr>
            <w:r w:rsidRPr="00FD56BB">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0F1696" w14:textId="77777777" w:rsidR="00033C12" w:rsidRPr="00FD56BB" w:rsidRDefault="00033C12" w:rsidP="00FB3AC4">
            <w:pPr>
              <w:widowControl w:val="0"/>
              <w:shd w:val="clear" w:color="auto" w:fill="FFFFFF"/>
              <w:tabs>
                <w:tab w:val="left" w:pos="5529"/>
              </w:tabs>
              <w:spacing w:after="0" w:line="228" w:lineRule="auto"/>
              <w:jc w:val="both"/>
              <w:rPr>
                <w:rFonts w:ascii="Times New Roman" w:hAnsi="Times New Roman" w:cs="Times New Roman"/>
              </w:rPr>
            </w:pPr>
            <w:r w:rsidRPr="00FD56BB">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E28296" w14:textId="77777777" w:rsidR="00033C12" w:rsidRPr="00FD56BB" w:rsidRDefault="00033C12" w:rsidP="00FB3AC4">
            <w:pPr>
              <w:widowControl w:val="0"/>
              <w:shd w:val="clear" w:color="auto" w:fill="FFFFFF"/>
              <w:tabs>
                <w:tab w:val="left" w:pos="5529"/>
              </w:tabs>
              <w:spacing w:after="0" w:line="228" w:lineRule="auto"/>
              <w:jc w:val="both"/>
              <w:rPr>
                <w:rFonts w:ascii="Times New Roman" w:hAnsi="Times New Roman" w:cs="Times New Roman"/>
              </w:rPr>
            </w:pPr>
            <w:r w:rsidRPr="00FD56BB">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B88557"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E03411"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3A6BBC" w14:textId="77777777" w:rsidR="00033C12" w:rsidRPr="00FD56BB" w:rsidRDefault="00033C12" w:rsidP="00FB3AC4">
            <w:pPr>
              <w:widowControl w:val="0"/>
              <w:tabs>
                <w:tab w:val="left" w:pos="5529"/>
              </w:tabs>
              <w:spacing w:after="0"/>
              <w:jc w:val="both"/>
              <w:rPr>
                <w:rFonts w:ascii="Times New Roman" w:hAnsi="Times New Roman" w:cs="Times New Roman"/>
              </w:rPr>
            </w:pPr>
            <w:r w:rsidRPr="00FD56BB">
              <w:rPr>
                <w:rFonts w:ascii="Times New Roman" w:hAnsi="Times New Roman" w:cs="Times New Roman"/>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14:paraId="1D43D301" w14:textId="77777777" w:rsidR="00033C12" w:rsidRPr="00FD56BB" w:rsidRDefault="00033C12" w:rsidP="00FB3AC4">
            <w:pPr>
              <w:widowControl w:val="0"/>
              <w:spacing w:after="0" w:line="240" w:lineRule="auto"/>
              <w:jc w:val="both"/>
              <w:rPr>
                <w:rFonts w:ascii="Times New Roman" w:hAnsi="Times New Roman" w:cs="Times New Roman"/>
                <w:sz w:val="24"/>
                <w:szCs w:val="24"/>
                <w:lang w:eastAsia="uk-UA"/>
              </w:rPr>
            </w:pPr>
            <w:r w:rsidRPr="00FD56BB">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bl>
    <w:p w14:paraId="670B0912" w14:textId="77777777" w:rsidR="00033C12" w:rsidRDefault="00033C12" w:rsidP="00033C12">
      <w:pPr>
        <w:jc w:val="center"/>
      </w:pPr>
    </w:p>
    <w:sectPr w:rsidR="00033C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C7"/>
    <w:rsid w:val="00033C12"/>
    <w:rsid w:val="002004C7"/>
    <w:rsid w:val="00333B3A"/>
    <w:rsid w:val="009D3F9E"/>
    <w:rsid w:val="00CC3C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0A8"/>
  <w15:chartTrackingRefBased/>
  <w15:docId w15:val="{4F4B54DB-D76B-4D42-8D68-AF10E6DC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922-19/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4" Type="http://schemas.openxmlformats.org/officeDocument/2006/relationships/hyperlink" Target="https://zakon.rada.gov.ua/laws/show/922-19/prin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11293</Words>
  <Characters>6438</Characters>
  <Application>Microsoft Office Word</Application>
  <DocSecurity>0</DocSecurity>
  <Lines>53</Lines>
  <Paragraphs>35</Paragraphs>
  <ScaleCrop>false</ScaleCrop>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2023-11-10T11:34:00Z</dcterms:created>
  <dcterms:modified xsi:type="dcterms:W3CDTF">2023-11-10T11:38:00Z</dcterms:modified>
</cp:coreProperties>
</file>