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325450" w14:textId="77777777" w:rsidR="00D40E20" w:rsidRDefault="00D40E20" w:rsidP="00D40E20">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58D95D13" w14:textId="77777777" w:rsidR="00D40E20" w:rsidRPr="005C0AD0" w:rsidRDefault="00D40E20" w:rsidP="00D40E20">
      <w:pPr>
        <w:spacing w:line="264" w:lineRule="auto"/>
        <w:jc w:val="center"/>
        <w:rPr>
          <w:b/>
          <w:sz w:val="40"/>
          <w:szCs w:val="40"/>
        </w:rPr>
      </w:pPr>
      <w:r w:rsidRPr="000E3D3D">
        <w:rPr>
          <w:b/>
          <w:sz w:val="40"/>
          <w:szCs w:val="40"/>
        </w:rPr>
        <w:t>«</w:t>
      </w:r>
      <w:r w:rsidRPr="005C0AD0">
        <w:rPr>
          <w:b/>
          <w:sz w:val="40"/>
          <w:szCs w:val="40"/>
        </w:rPr>
        <w:t>Хмельницька інфекційна лікарня</w:t>
      </w:r>
      <w:r w:rsidRPr="000E3D3D">
        <w:rPr>
          <w:b/>
          <w:sz w:val="40"/>
          <w:szCs w:val="40"/>
        </w:rPr>
        <w:t>»</w:t>
      </w:r>
      <w:r>
        <w:rPr>
          <w:b/>
          <w:sz w:val="40"/>
          <w:szCs w:val="40"/>
        </w:rPr>
        <w:t xml:space="preserve"> </w:t>
      </w:r>
    </w:p>
    <w:p w14:paraId="25D47DD7" w14:textId="77777777" w:rsidR="00D40E20" w:rsidRPr="005C0AD0" w:rsidRDefault="00D40E20" w:rsidP="00D40E20">
      <w:pPr>
        <w:spacing w:line="264" w:lineRule="auto"/>
        <w:jc w:val="center"/>
        <w:rPr>
          <w:b/>
          <w:bCs/>
          <w:sz w:val="38"/>
          <w:szCs w:val="38"/>
        </w:rPr>
      </w:pPr>
      <w:r w:rsidRPr="005C0AD0">
        <w:rPr>
          <w:b/>
          <w:sz w:val="40"/>
          <w:szCs w:val="40"/>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379"/>
      </w:tblGrid>
      <w:tr w:rsidR="00D40E20" w:rsidRPr="00912256" w14:paraId="60EE5525" w14:textId="77777777" w:rsidTr="00666AEC">
        <w:tc>
          <w:tcPr>
            <w:tcW w:w="3931" w:type="dxa"/>
            <w:tcBorders>
              <w:top w:val="nil"/>
              <w:left w:val="nil"/>
              <w:bottom w:val="nil"/>
              <w:right w:val="nil"/>
            </w:tcBorders>
          </w:tcPr>
          <w:p w14:paraId="63EC7613" w14:textId="77777777" w:rsidR="00D40E20" w:rsidRPr="00860C9E" w:rsidRDefault="00D40E20" w:rsidP="001779BE">
            <w:pPr>
              <w:spacing w:line="264" w:lineRule="auto"/>
              <w:rPr>
                <w:b/>
                <w:bCs/>
                <w:sz w:val="28"/>
                <w:szCs w:val="28"/>
              </w:rPr>
            </w:pPr>
          </w:p>
        </w:tc>
        <w:tc>
          <w:tcPr>
            <w:tcW w:w="6379" w:type="dxa"/>
            <w:tcBorders>
              <w:top w:val="nil"/>
              <w:left w:val="nil"/>
              <w:bottom w:val="nil"/>
              <w:right w:val="nil"/>
            </w:tcBorders>
          </w:tcPr>
          <w:p w14:paraId="017A8FFF" w14:textId="77777777" w:rsidR="00D40E20" w:rsidRDefault="00D40E20" w:rsidP="001779BE">
            <w:pPr>
              <w:spacing w:line="264" w:lineRule="auto"/>
              <w:jc w:val="right"/>
              <w:rPr>
                <w:b/>
                <w:bCs/>
                <w:noProof/>
              </w:rPr>
            </w:pPr>
          </w:p>
          <w:p w14:paraId="55F2DBFD" w14:textId="77777777" w:rsidR="00D40E20" w:rsidRPr="00860C9E" w:rsidRDefault="00D40E20" w:rsidP="001779BE">
            <w:pPr>
              <w:spacing w:line="264" w:lineRule="auto"/>
              <w:jc w:val="right"/>
              <w:rPr>
                <w:b/>
                <w:bCs/>
                <w:noProof/>
              </w:rPr>
            </w:pPr>
            <w:r>
              <w:rPr>
                <w:b/>
                <w:bCs/>
                <w:noProof/>
              </w:rPr>
              <w:t xml:space="preserve">              </w:t>
            </w:r>
            <w:r w:rsidRPr="005C0AD0">
              <w:rPr>
                <w:b/>
                <w:bCs/>
                <w:noProof/>
              </w:rPr>
              <w:t xml:space="preserve">              </w:t>
            </w:r>
            <w:r>
              <w:rPr>
                <w:b/>
                <w:bCs/>
                <w:noProof/>
              </w:rPr>
              <w:t xml:space="preserve">  </w:t>
            </w:r>
            <w:r w:rsidRPr="00860C9E">
              <w:rPr>
                <w:b/>
                <w:bCs/>
                <w:noProof/>
              </w:rPr>
              <w:t xml:space="preserve">ЗАТВЕРДЖЕНО </w:t>
            </w:r>
          </w:p>
        </w:tc>
      </w:tr>
      <w:tr w:rsidR="00D40E20" w:rsidRPr="00912256" w14:paraId="2AE7F848" w14:textId="77777777" w:rsidTr="00666AEC">
        <w:trPr>
          <w:trHeight w:val="669"/>
        </w:trPr>
        <w:tc>
          <w:tcPr>
            <w:tcW w:w="3931" w:type="dxa"/>
            <w:tcBorders>
              <w:top w:val="nil"/>
              <w:left w:val="nil"/>
              <w:bottom w:val="nil"/>
              <w:right w:val="nil"/>
            </w:tcBorders>
          </w:tcPr>
          <w:p w14:paraId="324568C0" w14:textId="77777777" w:rsidR="00D40E20" w:rsidRPr="00860C9E" w:rsidRDefault="00D40E20" w:rsidP="001779BE">
            <w:pPr>
              <w:spacing w:line="264" w:lineRule="auto"/>
              <w:rPr>
                <w:b/>
                <w:bCs/>
                <w:sz w:val="28"/>
                <w:szCs w:val="28"/>
              </w:rPr>
            </w:pPr>
            <w:r w:rsidRPr="00860C9E">
              <w:rPr>
                <w:b/>
                <w:bCs/>
                <w:sz w:val="28"/>
                <w:szCs w:val="28"/>
              </w:rPr>
              <w:t xml:space="preserve"> </w:t>
            </w:r>
            <w:r>
              <w:rPr>
                <w:b/>
                <w:bCs/>
                <w:sz w:val="28"/>
                <w:szCs w:val="28"/>
              </w:rPr>
              <w:t xml:space="preserve">                                   </w:t>
            </w:r>
          </w:p>
        </w:tc>
        <w:tc>
          <w:tcPr>
            <w:tcW w:w="6379" w:type="dxa"/>
            <w:tcBorders>
              <w:top w:val="nil"/>
              <w:left w:val="nil"/>
              <w:bottom w:val="nil"/>
              <w:right w:val="nil"/>
            </w:tcBorders>
          </w:tcPr>
          <w:p w14:paraId="2BD04E57" w14:textId="77777777" w:rsidR="00D40E20" w:rsidRDefault="00D40E20" w:rsidP="001779BE">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715A291C" w14:textId="0625A905" w:rsidR="00D40E20" w:rsidRPr="00860C9E" w:rsidRDefault="00D40E20" w:rsidP="00D40E20">
            <w:pPr>
              <w:spacing w:line="264" w:lineRule="auto"/>
              <w:jc w:val="right"/>
              <w:rPr>
                <w:b/>
                <w:bCs/>
              </w:rPr>
            </w:pPr>
            <w:r>
              <w:rPr>
                <w:b/>
                <w:bCs/>
              </w:rPr>
              <w:t xml:space="preserve">                 Ганна СЛОБОДЯН</w:t>
            </w:r>
          </w:p>
        </w:tc>
      </w:tr>
      <w:tr w:rsidR="00166254" w:rsidRPr="00166254" w14:paraId="6A62AC53" w14:textId="77777777" w:rsidTr="00666AEC">
        <w:tc>
          <w:tcPr>
            <w:tcW w:w="3931" w:type="dxa"/>
            <w:tcBorders>
              <w:top w:val="nil"/>
              <w:left w:val="nil"/>
              <w:bottom w:val="nil"/>
              <w:right w:val="nil"/>
            </w:tcBorders>
          </w:tcPr>
          <w:p w14:paraId="202CA538" w14:textId="77777777" w:rsidR="00D40E20" w:rsidRPr="000E3D3D" w:rsidRDefault="00D40E20" w:rsidP="001779BE">
            <w:pPr>
              <w:spacing w:line="264" w:lineRule="auto"/>
              <w:rPr>
                <w:b/>
                <w:bCs/>
                <w:color w:val="FF0000"/>
              </w:rPr>
            </w:pPr>
          </w:p>
        </w:tc>
        <w:tc>
          <w:tcPr>
            <w:tcW w:w="6379" w:type="dxa"/>
            <w:tcBorders>
              <w:top w:val="nil"/>
              <w:left w:val="nil"/>
              <w:bottom w:val="nil"/>
              <w:right w:val="nil"/>
            </w:tcBorders>
          </w:tcPr>
          <w:p w14:paraId="6BCB1E9F" w14:textId="681ED3FC" w:rsidR="00D40E20" w:rsidRPr="009B7CB7" w:rsidRDefault="00D40E20" w:rsidP="009B7CB7">
            <w:pPr>
              <w:spacing w:line="264" w:lineRule="auto"/>
              <w:jc w:val="right"/>
              <w:rPr>
                <w:b/>
                <w:bCs/>
                <w:lang w:val="ru-RU"/>
              </w:rPr>
            </w:pPr>
            <w:r w:rsidRPr="00166254">
              <w:rPr>
                <w:b/>
                <w:bCs/>
                <w:color w:val="FF0000"/>
              </w:rPr>
              <w:t xml:space="preserve">                </w:t>
            </w:r>
            <w:r w:rsidRPr="009B7CB7">
              <w:rPr>
                <w:b/>
                <w:bCs/>
              </w:rPr>
              <w:t xml:space="preserve">ПРОТОКОЛ № </w:t>
            </w:r>
            <w:r w:rsidR="00666AEC" w:rsidRPr="009B7CB7">
              <w:rPr>
                <w:b/>
                <w:bCs/>
              </w:rPr>
              <w:t>1</w:t>
            </w:r>
            <w:r w:rsidR="009B7CB7" w:rsidRPr="009B7CB7">
              <w:rPr>
                <w:b/>
                <w:bCs/>
              </w:rPr>
              <w:t>6</w:t>
            </w:r>
          </w:p>
        </w:tc>
      </w:tr>
      <w:tr w:rsidR="00D40E20" w:rsidRPr="00912256" w14:paraId="7BFE3A69" w14:textId="77777777" w:rsidTr="00666AEC">
        <w:tc>
          <w:tcPr>
            <w:tcW w:w="3931" w:type="dxa"/>
            <w:tcBorders>
              <w:top w:val="nil"/>
              <w:left w:val="nil"/>
              <w:bottom w:val="nil"/>
              <w:right w:val="nil"/>
            </w:tcBorders>
          </w:tcPr>
          <w:p w14:paraId="6679E203" w14:textId="77777777" w:rsidR="00D40E20" w:rsidRPr="000E3D3D" w:rsidRDefault="00D40E20" w:rsidP="001779BE">
            <w:pPr>
              <w:spacing w:line="264" w:lineRule="auto"/>
              <w:rPr>
                <w:b/>
                <w:bCs/>
                <w:color w:val="FF0000"/>
                <w:sz w:val="28"/>
                <w:szCs w:val="28"/>
              </w:rPr>
            </w:pPr>
          </w:p>
        </w:tc>
        <w:tc>
          <w:tcPr>
            <w:tcW w:w="6379" w:type="dxa"/>
            <w:tcBorders>
              <w:top w:val="nil"/>
              <w:left w:val="nil"/>
              <w:bottom w:val="nil"/>
              <w:right w:val="nil"/>
            </w:tcBorders>
          </w:tcPr>
          <w:p w14:paraId="6CE08293" w14:textId="6F8917E5" w:rsidR="00D40E20" w:rsidRPr="00482BFE" w:rsidRDefault="00D40E20" w:rsidP="00166254">
            <w:pPr>
              <w:spacing w:line="264" w:lineRule="auto"/>
              <w:jc w:val="right"/>
              <w:rPr>
                <w:b/>
                <w:bCs/>
              </w:rPr>
            </w:pPr>
            <w:r w:rsidRPr="00482BFE">
              <w:rPr>
                <w:b/>
                <w:bCs/>
              </w:rPr>
              <w:t xml:space="preserve">                 від</w:t>
            </w:r>
            <w:r w:rsidRPr="00482BFE">
              <w:t xml:space="preserve"> </w:t>
            </w:r>
            <w:r w:rsidRPr="00482BFE">
              <w:rPr>
                <w:b/>
              </w:rPr>
              <w:t>«</w:t>
            </w:r>
            <w:r w:rsidR="002C65B8">
              <w:rPr>
                <w:b/>
              </w:rPr>
              <w:t>2</w:t>
            </w:r>
            <w:r w:rsidR="00166254">
              <w:rPr>
                <w:b/>
              </w:rPr>
              <w:t>1</w:t>
            </w:r>
            <w:r w:rsidRPr="00482BFE">
              <w:rPr>
                <w:b/>
              </w:rPr>
              <w:t xml:space="preserve">» </w:t>
            </w:r>
            <w:r w:rsidR="00166254">
              <w:rPr>
                <w:b/>
              </w:rPr>
              <w:t>березня</w:t>
            </w:r>
            <w:r w:rsidRPr="00482BFE">
              <w:rPr>
                <w:b/>
              </w:rPr>
              <w:t xml:space="preserve">  202</w:t>
            </w:r>
            <w:r w:rsidR="00D13C7F" w:rsidRPr="00482BFE">
              <w:rPr>
                <w:b/>
              </w:rPr>
              <w:t>4</w:t>
            </w:r>
            <w:r w:rsidR="001779BE">
              <w:rPr>
                <w:b/>
              </w:rPr>
              <w:t xml:space="preserve"> </w:t>
            </w:r>
            <w:r w:rsidRPr="00482BFE">
              <w:rPr>
                <w:b/>
              </w:rPr>
              <w:t>року</w:t>
            </w:r>
          </w:p>
        </w:tc>
      </w:tr>
    </w:tbl>
    <w:p w14:paraId="6313B578" w14:textId="77777777" w:rsidR="00D40E20" w:rsidRPr="009B33EB" w:rsidRDefault="00D40E20" w:rsidP="00D40E20">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tbl>
      <w:tblPr>
        <w:tblW w:w="0" w:type="auto"/>
        <w:tblLayout w:type="fixed"/>
        <w:tblLook w:val="0000" w:firstRow="0" w:lastRow="0" w:firstColumn="0" w:lastColumn="0" w:noHBand="0" w:noVBand="0"/>
      </w:tblPr>
      <w:tblGrid>
        <w:gridCol w:w="10598"/>
      </w:tblGrid>
      <w:tr w:rsidR="009B33EB" w:rsidRPr="00912256" w14:paraId="29C71001" w14:textId="77777777" w:rsidTr="001779BE">
        <w:tc>
          <w:tcPr>
            <w:tcW w:w="10598" w:type="dxa"/>
            <w:tcBorders>
              <w:top w:val="nil"/>
              <w:left w:val="nil"/>
              <w:bottom w:val="nil"/>
              <w:right w:val="nil"/>
            </w:tcBorders>
          </w:tcPr>
          <w:p w14:paraId="24534692" w14:textId="2297E901" w:rsidR="009B33EB" w:rsidRPr="00912256" w:rsidRDefault="009B33EB" w:rsidP="00D40E20">
            <w:pPr>
              <w:spacing w:line="264" w:lineRule="auto"/>
              <w:jc w:val="center"/>
              <w:rPr>
                <w:b/>
                <w:bCs/>
                <w:sz w:val="40"/>
                <w:szCs w:val="40"/>
              </w:rPr>
            </w:pPr>
            <w:r w:rsidRPr="00912256">
              <w:rPr>
                <w:b/>
                <w:bCs/>
                <w:sz w:val="40"/>
                <w:szCs w:val="40"/>
              </w:rPr>
              <w:t>ТЕНДЕРНА ДОКУМЕНТАЦІ</w:t>
            </w:r>
            <w:r>
              <w:rPr>
                <w:b/>
                <w:bCs/>
                <w:sz w:val="40"/>
                <w:szCs w:val="40"/>
              </w:rPr>
              <w:t>Я</w:t>
            </w:r>
            <w:r w:rsidR="009369C3">
              <w:rPr>
                <w:b/>
                <w:bCs/>
                <w:sz w:val="40"/>
                <w:szCs w:val="40"/>
              </w:rPr>
              <w:t xml:space="preserve"> </w:t>
            </w:r>
          </w:p>
        </w:tc>
      </w:tr>
      <w:tr w:rsidR="009B33EB" w:rsidRPr="00912256" w14:paraId="357BCCAD" w14:textId="77777777" w:rsidTr="001779BE">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4F8B3DBD" w14:textId="77777777" w:rsidR="00A67829"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r w:rsidR="00A67829" w:rsidRPr="00A67829">
        <w:rPr>
          <w:b/>
          <w:sz w:val="28"/>
          <w:szCs w:val="28"/>
        </w:rPr>
        <w:t xml:space="preserve"> </w:t>
      </w:r>
    </w:p>
    <w:p w14:paraId="3708DF3C" w14:textId="77777777" w:rsidR="00AC4D25" w:rsidRDefault="00AC4D25" w:rsidP="004B25E6">
      <w:pPr>
        <w:spacing w:line="264" w:lineRule="auto"/>
        <w:jc w:val="center"/>
        <w:rPr>
          <w:b/>
          <w:sz w:val="28"/>
          <w:szCs w:val="28"/>
        </w:rPr>
      </w:pPr>
    </w:p>
    <w:p w14:paraId="44B63E36" w14:textId="77777777" w:rsidR="008048EF" w:rsidRPr="008048EF" w:rsidRDefault="008048EF" w:rsidP="008048EF">
      <w:pPr>
        <w:spacing w:line="264" w:lineRule="auto"/>
        <w:jc w:val="center"/>
        <w:rPr>
          <w:b/>
          <w:sz w:val="28"/>
          <w:szCs w:val="28"/>
        </w:rPr>
      </w:pPr>
      <w:r w:rsidRPr="008048EF">
        <w:rPr>
          <w:b/>
          <w:sz w:val="28"/>
          <w:szCs w:val="28"/>
        </w:rPr>
        <w:t>Лабораторні реактиви</w:t>
      </w:r>
    </w:p>
    <w:p w14:paraId="201DE303" w14:textId="1E7D761C" w:rsidR="006D324F" w:rsidRDefault="008048EF" w:rsidP="008048EF">
      <w:pPr>
        <w:spacing w:line="264" w:lineRule="auto"/>
        <w:jc w:val="center"/>
        <w:rPr>
          <w:b/>
          <w:sz w:val="28"/>
          <w:szCs w:val="28"/>
        </w:rPr>
      </w:pPr>
      <w:r w:rsidRPr="008048EF">
        <w:rPr>
          <w:b/>
          <w:sz w:val="28"/>
          <w:szCs w:val="28"/>
        </w:rPr>
        <w:t>код ДК 021:2015 "Єдиний закупівельний словник" — 33690000-3 Лікарські засоби різні  (33696500-0 - Лабораторні реактиви)</w:t>
      </w:r>
    </w:p>
    <w:p w14:paraId="4E28D781" w14:textId="77777777" w:rsidR="008048EF" w:rsidRPr="00AC4D25" w:rsidRDefault="008048EF" w:rsidP="008048EF">
      <w:pPr>
        <w:spacing w:line="264" w:lineRule="auto"/>
        <w:jc w:val="center"/>
        <w:rPr>
          <w:b/>
        </w:rPr>
      </w:pPr>
    </w:p>
    <w:p w14:paraId="24647EE4" w14:textId="615268B1" w:rsidR="00B761A7" w:rsidRPr="00BE2874" w:rsidRDefault="00D13C7F" w:rsidP="00BE2874">
      <w:pPr>
        <w:spacing w:line="264" w:lineRule="auto"/>
        <w:jc w:val="both"/>
      </w:pPr>
      <w:r w:rsidRPr="00BE2874">
        <w:t>Код НКМВ 024:2023 -</w:t>
      </w:r>
      <w:r w:rsidR="00D5295A" w:rsidRPr="00BE2874">
        <w:t xml:space="preserve"> 52903</w:t>
      </w:r>
      <w:r w:rsidRPr="00BE2874">
        <w:t xml:space="preserve"> </w:t>
      </w:r>
      <w:r w:rsidR="00D5295A" w:rsidRPr="00BE2874">
        <w:t>Множинні ферменти клінічної хімії IVD (діагностика in vitro), калібратор; 53583 - Сечова кислота IVD (діагностика in vitro), набір, ферментний спектрофотометричний аналіз; 55997 - Фібриноген (чинник I) IVD (діагностика in vitro), набір, аналіз утворення згустку;</w:t>
      </w:r>
      <w:r w:rsidR="00303FD6" w:rsidRPr="00BE2874">
        <w:t xml:space="preserve"> 53301 - Глюкоза IVD (діагностика in vitro), набір, ферментний спектрофотометричний аналіз; 59058 - Мийний/очищувальний розчин IVD (діагностика in vitro) для автоматизованих/ напівавтоматизованих систем; 52954 - Загальна аспартатамінотрансфераза (AST) IVD (діагностика in vitro), набір, ферментний спектрофотометричний аналіз; 30213 - Множинні ферменти клінічної хімії IVD (діагностика in vitro), контрольний матеріал; </w:t>
      </w:r>
      <w:r w:rsidR="00303FD6" w:rsidRPr="00BE2874">
        <w:t>59058</w:t>
      </w:r>
      <w:r w:rsidR="00303FD6" w:rsidRPr="00BE2874">
        <w:t>-М</w:t>
      </w:r>
      <w:r w:rsidR="00303FD6" w:rsidRPr="00BE2874">
        <w:t>ийний/очищувальний розчин IVD (діагностика in vitro) для автоматизованих/ напівавтоматизованих систем</w:t>
      </w:r>
      <w:r w:rsidR="00303FD6" w:rsidRPr="00BE2874">
        <w:t xml:space="preserve">; </w:t>
      </w:r>
      <w:r w:rsidR="00303FD6" w:rsidRPr="00BE2874">
        <w:t>53597 - Альбумін IVD (діагностика in vitro), набір, ферментний спектрофотометричний аналіз</w:t>
      </w:r>
      <w:r w:rsidR="00303FD6" w:rsidRPr="00BE2874">
        <w:t xml:space="preserve">; </w:t>
      </w:r>
      <w:r w:rsidR="00303FD6" w:rsidRPr="00BE2874">
        <w:t>52940 - Загальна амілаза IVD (діагностика in vitro), набір, ферментний спектрофотометричний аналіз</w:t>
      </w:r>
      <w:r w:rsidR="00303FD6" w:rsidRPr="00BE2874">
        <w:t xml:space="preserve">; </w:t>
      </w:r>
      <w:r w:rsidR="00BE2874" w:rsidRPr="00BE2874">
        <w:t xml:space="preserve">52928 - Загальна лужна фосфатаза (ALP) IVD (діагностика in vitro), набір, ферментний спектрофотометричний аналіз; </w:t>
      </w:r>
      <w:r w:rsidR="00BE2874" w:rsidRPr="00BE2874">
        <w:t>53230 - Загальний білірубін IVD (діагностика in vitro), набір, ферментний спектрофотометричний аналіз</w:t>
      </w:r>
      <w:r w:rsidR="00BE2874" w:rsidRPr="00BE2874">
        <w:t xml:space="preserve">; 53232 - Кон'югований (прямий, зв'язаний) білірубін IVD (діагностика in vitro), набір, ферментний спектрофотометричний аналіз; </w:t>
      </w:r>
      <w:r w:rsidR="00BE2874" w:rsidRPr="00BE2874">
        <w:t>53250 - Креатинін IVD (діагностика in vitro), набір, ферментний спектрофотометричний аналіз</w:t>
      </w:r>
      <w:r w:rsidR="00BE2874" w:rsidRPr="00BE2874">
        <w:t>; 53230 - Загальний білірубін IVD (діагностика in vitro), набір, ферментний спектрофотометричний аналіз; 53587 - Сечовина (Urea) IVD (діагностика in vitro), набір, ферментний спектрофотометричний аналіз; 52923 - Аланінамінотрансфераза (ALT) IVD (діагностика in vitro), набір, ферментний спектрофотометричний аналіз; 53359 - Загальний холестерин IVD (діагностика in vitro), набір, ферментний спектрофотометричний аналіз</w:t>
      </w:r>
    </w:p>
    <w:p w14:paraId="3E64B17E" w14:textId="77777777" w:rsidR="00B761A7" w:rsidRPr="00166254" w:rsidRDefault="00B761A7" w:rsidP="00B761A7">
      <w:pPr>
        <w:spacing w:line="264" w:lineRule="auto"/>
        <w:jc w:val="both"/>
        <w:rPr>
          <w:color w:val="FF0000"/>
        </w:rPr>
      </w:pPr>
    </w:p>
    <w:p w14:paraId="37F9FF3F" w14:textId="77777777" w:rsidR="00B761A7" w:rsidRDefault="00B761A7" w:rsidP="00B761A7">
      <w:pPr>
        <w:spacing w:line="264" w:lineRule="auto"/>
        <w:jc w:val="both"/>
      </w:pPr>
    </w:p>
    <w:p w14:paraId="0CC1F0E0" w14:textId="77777777" w:rsidR="00B761A7" w:rsidRDefault="00B761A7" w:rsidP="00B761A7">
      <w:pPr>
        <w:spacing w:line="264" w:lineRule="auto"/>
        <w:jc w:val="both"/>
      </w:pPr>
    </w:p>
    <w:p w14:paraId="074284D0" w14:textId="77777777" w:rsidR="00B761A7" w:rsidRDefault="00B761A7" w:rsidP="00B761A7">
      <w:pPr>
        <w:spacing w:line="264" w:lineRule="auto"/>
        <w:jc w:val="both"/>
      </w:pPr>
    </w:p>
    <w:p w14:paraId="1DEDE553" w14:textId="77777777" w:rsidR="00B761A7" w:rsidRDefault="00B761A7" w:rsidP="00B761A7">
      <w:pPr>
        <w:spacing w:line="264" w:lineRule="auto"/>
        <w:jc w:val="both"/>
      </w:pPr>
    </w:p>
    <w:p w14:paraId="4A8358C0" w14:textId="77777777" w:rsidR="00B761A7" w:rsidRDefault="00B761A7" w:rsidP="00B761A7">
      <w:pPr>
        <w:spacing w:line="264" w:lineRule="auto"/>
        <w:jc w:val="both"/>
      </w:pPr>
    </w:p>
    <w:p w14:paraId="2BF08F0C" w14:textId="77777777" w:rsidR="00B761A7" w:rsidRDefault="00B761A7" w:rsidP="00B761A7">
      <w:pPr>
        <w:spacing w:line="264" w:lineRule="auto"/>
        <w:jc w:val="both"/>
      </w:pPr>
    </w:p>
    <w:p w14:paraId="46AC9C45" w14:textId="77777777" w:rsidR="00B761A7" w:rsidRDefault="00B761A7" w:rsidP="00B761A7">
      <w:pPr>
        <w:spacing w:line="264" w:lineRule="auto"/>
        <w:jc w:val="both"/>
      </w:pPr>
    </w:p>
    <w:p w14:paraId="66F3E5E5" w14:textId="77777777" w:rsidR="00B761A7" w:rsidRDefault="00B761A7" w:rsidP="00B761A7">
      <w:pPr>
        <w:spacing w:line="264" w:lineRule="auto"/>
        <w:jc w:val="both"/>
      </w:pPr>
    </w:p>
    <w:p w14:paraId="35C7726F" w14:textId="77777777" w:rsidR="00B761A7" w:rsidRDefault="00B761A7" w:rsidP="00B761A7">
      <w:pPr>
        <w:spacing w:line="264" w:lineRule="auto"/>
        <w:jc w:val="both"/>
      </w:pPr>
    </w:p>
    <w:p w14:paraId="3F7DE9E9" w14:textId="77777777" w:rsidR="00B761A7" w:rsidRDefault="00B761A7" w:rsidP="00B761A7">
      <w:pPr>
        <w:spacing w:line="264" w:lineRule="auto"/>
        <w:jc w:val="both"/>
        <w:rPr>
          <w:b/>
          <w:sz w:val="28"/>
          <w:szCs w:val="28"/>
        </w:rPr>
      </w:pPr>
    </w:p>
    <w:p w14:paraId="532719CA" w14:textId="70A3C524" w:rsidR="009B33EB" w:rsidRDefault="009B33EB" w:rsidP="002A6E82">
      <w:pPr>
        <w:spacing w:line="264" w:lineRule="auto"/>
        <w:jc w:val="center"/>
        <w:rPr>
          <w:b/>
          <w:bCs/>
          <w:sz w:val="28"/>
          <w:szCs w:val="28"/>
          <w:u w:val="single"/>
          <w:lang w:eastAsia="uk-UA"/>
        </w:rPr>
      </w:pPr>
      <w:r w:rsidRPr="00602AC8">
        <w:rPr>
          <w:b/>
          <w:bCs/>
          <w:sz w:val="28"/>
          <w:szCs w:val="28"/>
          <w:lang w:eastAsia="uk-UA"/>
        </w:rPr>
        <w:t>за процедурою</w:t>
      </w:r>
      <w:r w:rsidR="001779BE">
        <w:rPr>
          <w:b/>
          <w:bCs/>
          <w:sz w:val="28"/>
          <w:szCs w:val="28"/>
          <w:lang w:eastAsia="uk-UA"/>
        </w:rPr>
        <w:t>:</w:t>
      </w:r>
      <w:r w:rsidR="007D2332">
        <w:rPr>
          <w:b/>
          <w:bCs/>
          <w:sz w:val="28"/>
          <w:szCs w:val="28"/>
          <w:lang w:eastAsia="uk-UA"/>
        </w:rPr>
        <w:t xml:space="preserve">  </w:t>
      </w:r>
      <w:r w:rsidRPr="004B25E6">
        <w:rPr>
          <w:b/>
          <w:bCs/>
          <w:sz w:val="28"/>
          <w:szCs w:val="28"/>
          <w:u w:val="single"/>
          <w:lang w:eastAsia="uk-UA"/>
        </w:rPr>
        <w:t xml:space="preserve">відкриті торги </w:t>
      </w:r>
    </w:p>
    <w:p w14:paraId="5C836476" w14:textId="77777777" w:rsidR="00B761A7" w:rsidRDefault="00B761A7" w:rsidP="002A6E82">
      <w:pPr>
        <w:spacing w:line="264" w:lineRule="auto"/>
        <w:jc w:val="center"/>
        <w:rPr>
          <w:b/>
          <w:bCs/>
          <w:sz w:val="28"/>
          <w:szCs w:val="28"/>
          <w:u w:val="single"/>
          <w:lang w:eastAsia="uk-UA"/>
        </w:rPr>
      </w:pPr>
    </w:p>
    <w:p w14:paraId="37B1F462" w14:textId="77777777" w:rsidR="00B761A7" w:rsidRDefault="00B761A7" w:rsidP="002A6E82">
      <w:pPr>
        <w:spacing w:line="264" w:lineRule="auto"/>
        <w:jc w:val="center"/>
        <w:rPr>
          <w:b/>
          <w:bCs/>
          <w:sz w:val="28"/>
          <w:szCs w:val="28"/>
          <w:u w:val="single"/>
          <w:lang w:eastAsia="uk-UA"/>
        </w:rPr>
      </w:pPr>
    </w:p>
    <w:p w14:paraId="40F9348F" w14:textId="77777777" w:rsidR="00B761A7" w:rsidRDefault="00B761A7" w:rsidP="002A6E82">
      <w:pPr>
        <w:spacing w:line="264" w:lineRule="auto"/>
        <w:jc w:val="center"/>
        <w:rPr>
          <w:b/>
          <w:bCs/>
          <w:sz w:val="28"/>
          <w:szCs w:val="28"/>
          <w:u w:val="single"/>
          <w:lang w:eastAsia="uk-UA"/>
        </w:rPr>
      </w:pPr>
    </w:p>
    <w:p w14:paraId="33622D70" w14:textId="77777777" w:rsidR="00B761A7" w:rsidRDefault="00B761A7" w:rsidP="002A6E82">
      <w:pPr>
        <w:spacing w:line="264" w:lineRule="auto"/>
        <w:jc w:val="center"/>
        <w:rPr>
          <w:b/>
          <w:bCs/>
          <w:sz w:val="28"/>
          <w:szCs w:val="28"/>
          <w:u w:val="single"/>
          <w:lang w:eastAsia="uk-UA"/>
        </w:rPr>
      </w:pPr>
    </w:p>
    <w:p w14:paraId="5875F335" w14:textId="77777777" w:rsidR="00B761A7" w:rsidRDefault="00B761A7" w:rsidP="002A6E82">
      <w:pPr>
        <w:spacing w:line="264" w:lineRule="auto"/>
        <w:jc w:val="center"/>
        <w:rPr>
          <w:b/>
          <w:bCs/>
          <w:sz w:val="28"/>
          <w:szCs w:val="28"/>
          <w:u w:val="single"/>
          <w:lang w:eastAsia="uk-UA"/>
        </w:rPr>
      </w:pPr>
    </w:p>
    <w:p w14:paraId="40002A12" w14:textId="77777777" w:rsidR="00B761A7" w:rsidRDefault="00B761A7" w:rsidP="002A6E82">
      <w:pPr>
        <w:spacing w:line="264" w:lineRule="auto"/>
        <w:jc w:val="center"/>
        <w:rPr>
          <w:b/>
          <w:bCs/>
          <w:sz w:val="28"/>
          <w:szCs w:val="28"/>
          <w:u w:val="single"/>
          <w:lang w:eastAsia="uk-UA"/>
        </w:rPr>
      </w:pPr>
    </w:p>
    <w:p w14:paraId="571F38C4" w14:textId="77777777" w:rsidR="00B761A7" w:rsidRPr="001779BE" w:rsidRDefault="00B761A7" w:rsidP="002A6E82">
      <w:pPr>
        <w:spacing w:line="264" w:lineRule="auto"/>
        <w:jc w:val="center"/>
        <w:rPr>
          <w:b/>
          <w:bCs/>
          <w:sz w:val="28"/>
          <w:szCs w:val="28"/>
          <w:u w:val="single"/>
          <w:lang w:eastAsia="uk-UA"/>
        </w:rPr>
      </w:pPr>
    </w:p>
    <w:p w14:paraId="33DFD435" w14:textId="77777777" w:rsidR="00F836D2" w:rsidRDefault="00F836D2" w:rsidP="009B33EB">
      <w:pPr>
        <w:spacing w:line="264" w:lineRule="auto"/>
        <w:jc w:val="center"/>
        <w:rPr>
          <w:b/>
          <w:bCs/>
          <w:sz w:val="28"/>
          <w:szCs w:val="28"/>
          <w:lang w:eastAsia="uk-UA"/>
        </w:rPr>
      </w:pPr>
    </w:p>
    <w:p w14:paraId="637D04CB" w14:textId="4F2C2F96"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sidRPr="001779BE">
        <w:rPr>
          <w:b/>
          <w:sz w:val="28"/>
          <w:szCs w:val="28"/>
        </w:rPr>
        <w:t>Хмельницький</w:t>
      </w:r>
      <w:r>
        <w:rPr>
          <w:b/>
          <w:bCs/>
          <w:sz w:val="28"/>
          <w:szCs w:val="28"/>
        </w:rPr>
        <w:t xml:space="preserve"> </w:t>
      </w:r>
      <w:r w:rsidR="004B25E6">
        <w:rPr>
          <w:b/>
          <w:bCs/>
          <w:sz w:val="28"/>
          <w:szCs w:val="28"/>
        </w:rPr>
        <w:t>–</w:t>
      </w:r>
      <w:r>
        <w:rPr>
          <w:b/>
          <w:bCs/>
          <w:sz w:val="28"/>
          <w:szCs w:val="28"/>
        </w:rPr>
        <w:t xml:space="preserve"> 202</w:t>
      </w:r>
      <w:r w:rsidR="00D13C7F">
        <w:rPr>
          <w:b/>
          <w:bCs/>
          <w:sz w:val="28"/>
          <w:szCs w:val="28"/>
        </w:rPr>
        <w:t>4</w:t>
      </w:r>
    </w:p>
    <w:p w14:paraId="0FEE9739" w14:textId="77777777" w:rsidR="00D13C7F" w:rsidRDefault="00D13C7F" w:rsidP="009B33EB">
      <w:pPr>
        <w:spacing w:line="264" w:lineRule="auto"/>
        <w:jc w:val="center"/>
        <w:rPr>
          <w:b/>
          <w:bCs/>
          <w:sz w:val="28"/>
          <w:szCs w:val="28"/>
        </w:rPr>
      </w:pPr>
    </w:p>
    <w:p w14:paraId="6D2A6B13" w14:textId="77777777" w:rsidR="00D13C7F" w:rsidRDefault="00D13C7F" w:rsidP="009B33EB">
      <w:pPr>
        <w:spacing w:line="264" w:lineRule="auto"/>
        <w:jc w:val="center"/>
        <w:rPr>
          <w:b/>
          <w:bCs/>
          <w:sz w:val="28"/>
          <w:szCs w:val="28"/>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2C65B8">
        <w:trPr>
          <w:trHeight w:val="522"/>
          <w:jc w:val="center"/>
        </w:trPr>
        <w:tc>
          <w:tcPr>
            <w:tcW w:w="844"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838"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2C65B8">
        <w:trPr>
          <w:trHeight w:val="1069"/>
          <w:jc w:val="center"/>
        </w:trPr>
        <w:tc>
          <w:tcPr>
            <w:tcW w:w="844"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82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009"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2C65B8">
        <w:trPr>
          <w:trHeight w:val="522"/>
          <w:jc w:val="center"/>
        </w:trPr>
        <w:tc>
          <w:tcPr>
            <w:tcW w:w="844"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82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009"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2C65B8">
        <w:trPr>
          <w:trHeight w:val="755"/>
          <w:jc w:val="center"/>
        </w:trPr>
        <w:tc>
          <w:tcPr>
            <w:tcW w:w="844"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82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009" w:type="dxa"/>
            <w:shd w:val="clear" w:color="auto" w:fill="auto"/>
          </w:tcPr>
          <w:p w14:paraId="537E5B5E" w14:textId="2100B7B7" w:rsidR="00E854C9" w:rsidRPr="00A05EBE" w:rsidRDefault="00BB3E84" w:rsidP="00A05EBE">
            <w:pPr>
              <w:rPr>
                <w:b/>
              </w:rPr>
            </w:pPr>
            <w:r w:rsidRPr="00BB3E84">
              <w:rPr>
                <w:b/>
              </w:rPr>
              <w:t>Комунальне підприємство «Хмельницька інфекційна лікарня» Хмельницької міської ради</w:t>
            </w:r>
          </w:p>
        </w:tc>
      </w:tr>
      <w:tr w:rsidR="00790F84" w:rsidRPr="006B4622" w14:paraId="6355E149" w14:textId="77777777" w:rsidTr="002C65B8">
        <w:trPr>
          <w:trHeight w:val="522"/>
          <w:jc w:val="center"/>
        </w:trPr>
        <w:tc>
          <w:tcPr>
            <w:tcW w:w="844"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82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009" w:type="dxa"/>
            <w:shd w:val="clear" w:color="auto" w:fill="auto"/>
          </w:tcPr>
          <w:p w14:paraId="032FFEFD" w14:textId="28FE0777" w:rsidR="00790F84" w:rsidRPr="00A23DE0" w:rsidRDefault="00BB3E84" w:rsidP="00BD796E">
            <w:pPr>
              <w:spacing w:line="276" w:lineRule="auto"/>
            </w:pPr>
            <w:r w:rsidRPr="00BB3E84">
              <w:t>2900</w:t>
            </w:r>
            <w:r w:rsidR="00BD796E">
              <w:t>8,</w:t>
            </w:r>
            <w:r w:rsidRPr="00BB3E84">
              <w:t xml:space="preserve"> місто Хмельницький, вулиця Сковороди, будинок 17</w:t>
            </w:r>
          </w:p>
        </w:tc>
      </w:tr>
      <w:tr w:rsidR="00790F84" w:rsidRPr="006B4622" w14:paraId="207B0887" w14:textId="77777777" w:rsidTr="002C65B8">
        <w:trPr>
          <w:trHeight w:val="522"/>
          <w:jc w:val="center"/>
        </w:trPr>
        <w:tc>
          <w:tcPr>
            <w:tcW w:w="844"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82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009" w:type="dxa"/>
            <w:shd w:val="clear" w:color="auto" w:fill="auto"/>
          </w:tcPr>
          <w:p w14:paraId="53F56EA9" w14:textId="77777777" w:rsidR="005060AA" w:rsidRPr="005060AA" w:rsidRDefault="005060AA" w:rsidP="005060AA">
            <w:pPr>
              <w:spacing w:line="276" w:lineRule="auto"/>
              <w:rPr>
                <w:bCs/>
                <w:lang w:val="ru-RU"/>
              </w:rPr>
            </w:pPr>
            <w:proofErr w:type="gramStart"/>
            <w:r w:rsidRPr="005060AA">
              <w:rPr>
                <w:bCs/>
                <w:lang w:val="ru-RU"/>
              </w:rPr>
              <w:t>З</w:t>
            </w:r>
            <w:proofErr w:type="gramEnd"/>
            <w:r w:rsidRPr="005060AA">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7223B426" w14:textId="77777777" w:rsidR="00BB3E84" w:rsidRPr="00BB3E84" w:rsidRDefault="00BB3E84" w:rsidP="00BB3E84">
            <w:pPr>
              <w:spacing w:line="276" w:lineRule="auto"/>
              <w:rPr>
                <w:bCs/>
                <w:lang w:val="ru-RU"/>
              </w:rPr>
            </w:pPr>
            <w:r w:rsidRPr="00BB3E84">
              <w:rPr>
                <w:bCs/>
                <w:lang w:val="ru-RU"/>
              </w:rPr>
              <w:t>Ганна Слободян – уповноважена особа, бухгалтер</w:t>
            </w:r>
          </w:p>
          <w:p w14:paraId="32A935A0" w14:textId="5EC3170E" w:rsidR="00790F84" w:rsidRPr="00666AEC" w:rsidRDefault="00BB3E84" w:rsidP="00BB3E84">
            <w:pPr>
              <w:spacing w:line="276" w:lineRule="auto"/>
              <w:rPr>
                <w:lang w:val="ru-RU"/>
              </w:rPr>
            </w:pPr>
            <w:r w:rsidRPr="00BB3E84">
              <w:rPr>
                <w:bCs/>
                <w:lang w:val="ru-RU"/>
              </w:rPr>
              <w:t>телефон</w:t>
            </w:r>
            <w:proofErr w:type="gramStart"/>
            <w:r w:rsidRPr="00BB3E84">
              <w:rPr>
                <w:bCs/>
                <w:lang w:val="ru-RU"/>
              </w:rPr>
              <w:t xml:space="preserve"> :</w:t>
            </w:r>
            <w:proofErr w:type="gramEnd"/>
            <w:r w:rsidRPr="00BB3E84">
              <w:rPr>
                <w:bCs/>
                <w:lang w:val="ru-RU"/>
              </w:rPr>
              <w:t xml:space="preserve"> (0382) 70-43-81. </w:t>
            </w:r>
            <w:r w:rsidRPr="008048EF">
              <w:rPr>
                <w:bCs/>
                <w:lang w:val="en-US"/>
              </w:rPr>
              <w:t>E</w:t>
            </w:r>
            <w:r w:rsidRPr="00666AEC">
              <w:rPr>
                <w:bCs/>
                <w:lang w:val="ru-RU"/>
              </w:rPr>
              <w:t>-</w:t>
            </w:r>
            <w:r w:rsidRPr="008048EF">
              <w:rPr>
                <w:bCs/>
                <w:lang w:val="en-US"/>
              </w:rPr>
              <w:t>mail</w:t>
            </w:r>
            <w:r w:rsidRPr="00666AEC">
              <w:rPr>
                <w:bCs/>
                <w:lang w:val="ru-RU"/>
              </w:rPr>
              <w:t xml:space="preserve">: </w:t>
            </w:r>
            <w:r w:rsidRPr="008048EF">
              <w:rPr>
                <w:bCs/>
                <w:lang w:val="en-US"/>
              </w:rPr>
              <w:t>buhgalter</w:t>
            </w:r>
            <w:r w:rsidRPr="00666AEC">
              <w:rPr>
                <w:bCs/>
                <w:lang w:val="ru-RU"/>
              </w:rPr>
              <w:t>_</w:t>
            </w:r>
            <w:r w:rsidRPr="008048EF">
              <w:rPr>
                <w:bCs/>
                <w:lang w:val="en-US"/>
              </w:rPr>
              <w:t>hmil</w:t>
            </w:r>
            <w:r w:rsidRPr="00666AEC">
              <w:rPr>
                <w:bCs/>
                <w:lang w:val="ru-RU"/>
              </w:rPr>
              <w:t>@</w:t>
            </w:r>
            <w:r w:rsidRPr="008048EF">
              <w:rPr>
                <w:bCs/>
                <w:lang w:val="en-US"/>
              </w:rPr>
              <w:t>ukr</w:t>
            </w:r>
            <w:r w:rsidRPr="00666AEC">
              <w:rPr>
                <w:bCs/>
                <w:lang w:val="ru-RU"/>
              </w:rPr>
              <w:t>.</w:t>
            </w:r>
            <w:r w:rsidRPr="008048EF">
              <w:rPr>
                <w:bCs/>
                <w:lang w:val="en-US"/>
              </w:rPr>
              <w:t>net</w:t>
            </w:r>
          </w:p>
        </w:tc>
      </w:tr>
      <w:tr w:rsidR="00790F84" w:rsidRPr="006B4622" w14:paraId="20542619" w14:textId="77777777" w:rsidTr="002C65B8">
        <w:trPr>
          <w:trHeight w:val="522"/>
          <w:jc w:val="center"/>
        </w:trPr>
        <w:tc>
          <w:tcPr>
            <w:tcW w:w="844"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82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009"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2C65B8">
        <w:trPr>
          <w:trHeight w:val="522"/>
          <w:jc w:val="center"/>
        </w:trPr>
        <w:tc>
          <w:tcPr>
            <w:tcW w:w="844"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82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009"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2C65B8">
        <w:trPr>
          <w:trHeight w:val="522"/>
          <w:jc w:val="center"/>
        </w:trPr>
        <w:tc>
          <w:tcPr>
            <w:tcW w:w="844"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82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009" w:type="dxa"/>
            <w:shd w:val="clear" w:color="auto" w:fill="auto"/>
          </w:tcPr>
          <w:p w14:paraId="43ACB661" w14:textId="3E66559E" w:rsidR="00FC5419" w:rsidRDefault="00FC5419" w:rsidP="00FC5419">
            <w:pPr>
              <w:spacing w:line="276" w:lineRule="auto"/>
              <w:jc w:val="both"/>
              <w:rPr>
                <w:rFonts w:eastAsia="Andale Sans UI"/>
                <w:kern w:val="1"/>
              </w:rPr>
            </w:pPr>
            <w:r w:rsidRPr="00FC5419">
              <w:rPr>
                <w:rFonts w:eastAsia="Andale Sans UI"/>
                <w:kern w:val="1"/>
              </w:rPr>
              <w:t>Лабораторні реактиви</w:t>
            </w:r>
            <w:r w:rsidR="00B761A7">
              <w:rPr>
                <w:rFonts w:eastAsia="Andale Sans UI"/>
                <w:kern w:val="1"/>
              </w:rPr>
              <w:t>.</w:t>
            </w:r>
          </w:p>
          <w:p w14:paraId="2B2C2248" w14:textId="77777777" w:rsidR="00FC5419" w:rsidRPr="00FC5419" w:rsidRDefault="00FC5419" w:rsidP="00FC5419">
            <w:pPr>
              <w:spacing w:line="276" w:lineRule="auto"/>
              <w:jc w:val="both"/>
              <w:rPr>
                <w:rFonts w:eastAsia="Andale Sans UI"/>
                <w:kern w:val="1"/>
              </w:rPr>
            </w:pPr>
          </w:p>
          <w:p w14:paraId="53DD7F5A" w14:textId="06607B49" w:rsidR="00FC5419" w:rsidRPr="00FC5419" w:rsidRDefault="00B761A7" w:rsidP="00FC5419">
            <w:pPr>
              <w:spacing w:line="276" w:lineRule="auto"/>
              <w:jc w:val="both"/>
              <w:rPr>
                <w:rFonts w:eastAsia="Andale Sans UI"/>
                <w:kern w:val="1"/>
              </w:rPr>
            </w:pPr>
            <w:r>
              <w:rPr>
                <w:rFonts w:eastAsia="Andale Sans UI"/>
                <w:kern w:val="1"/>
              </w:rPr>
              <w:t>К</w:t>
            </w:r>
            <w:r w:rsidR="00FC5419" w:rsidRPr="00FC5419">
              <w:rPr>
                <w:rFonts w:eastAsia="Andale Sans UI"/>
                <w:kern w:val="1"/>
              </w:rPr>
              <w:t>од ДК 021:2015 "Єдиний закупівельний словник" — 33690000-3 Лікарські засоби різні  (33696500-0 - Лабораторні реактиви)</w:t>
            </w:r>
            <w:r>
              <w:rPr>
                <w:rFonts w:eastAsia="Andale Sans UI"/>
                <w:kern w:val="1"/>
              </w:rPr>
              <w:t>.</w:t>
            </w:r>
          </w:p>
          <w:p w14:paraId="736B90E9" w14:textId="77777777" w:rsidR="00FC5419" w:rsidRPr="00FC5419" w:rsidRDefault="00FC5419" w:rsidP="00FC5419">
            <w:pPr>
              <w:spacing w:line="276" w:lineRule="auto"/>
              <w:jc w:val="both"/>
              <w:rPr>
                <w:rFonts w:eastAsia="Andale Sans UI"/>
                <w:kern w:val="1"/>
              </w:rPr>
            </w:pPr>
          </w:p>
          <w:p w14:paraId="68958575" w14:textId="0DA25665" w:rsidR="00D717CF" w:rsidRPr="00BE2874" w:rsidRDefault="00BE2874" w:rsidP="00166254">
            <w:pPr>
              <w:spacing w:line="276" w:lineRule="auto"/>
              <w:jc w:val="both"/>
              <w:rPr>
                <w:rFonts w:eastAsia="Andale Sans UI"/>
                <w:kern w:val="1"/>
              </w:rPr>
            </w:pPr>
            <w:r w:rsidRPr="00BE2874">
              <w:rPr>
                <w:rFonts w:eastAsia="Andale Sans UI"/>
                <w:kern w:val="1"/>
              </w:rPr>
              <w:t>Код НКМВ 024:2023 - 52903 Множинні ферменти клінічної хімії IVD (діагностика in vitro), калібратор; 53583 - Сечова кислота IVD (діагностика in vitro), набір, ферментний спектрофотометричний аналіз; 55997 - Фібриноген (чинник I) IVD (діагностика in vitro), набір, аналіз утворення згустку; 53301 - Глюкоза IVD (діагностика in vitro), набір, ферментний спектрофотометричний аналіз; 59058 - Мийний/очищувальний розчин IVD (діагностика in vitro) для автоматизованих/ напівавтоматизованих систем; 52954 - Загальна аспартатамінотрансфераза (AST) IVD (діагностика in vitro), набір, ферментний спектрофотометричний аналіз; 30213 - Множинні ферменти клінічної хімії IVD (діагностика in vitro), контрольний матеріал; 59058-Мийний/очищувальний розчин IVD (діагностика in vitro) для автоматизованих/ напівавтоматизованих систем; 53597 - Альбумін IVD (діагностика in vitro), набір, ферментний спектрофотометричний аналіз; 52940 - Загальна амілаза IVD (діагностика in vitro), набір, ферментний спектрофотометричний аналіз; 52928 - Загальна лужна фосфатаза (ALP) IVD (діагностика in vitro), набір, ферментний спектрофотометричний аналіз; 53230 - Загальний білірубін IVD (діагностика in vitro), набір, ферментний спектрофотометричний</w:t>
            </w:r>
            <w:bookmarkStart w:id="0" w:name="_GoBack"/>
            <w:bookmarkEnd w:id="0"/>
            <w:r w:rsidRPr="00BE2874">
              <w:rPr>
                <w:rFonts w:eastAsia="Andale Sans UI"/>
                <w:kern w:val="1"/>
              </w:rPr>
              <w:t xml:space="preserve"> аналіз; 53232 - Кон'югований (прямий, зв'язаний) білірубін IVD (діагностика in vitro), набір, ферментний спектрофотометричний аналіз; 53250 - Креатинін IVD (діагностика in vitro), набір, ферментний спектрофотометричний аналіз; 53230 - Загальний білірубін IVD (діагностика in vitro), набір, ферментний спектрофотометричний аналіз; 53587 - Сечовина (Urea) IVD (діагностика in vitro), набір, ферментний спектрофотометричний аналіз; 52923 - Аланінамінотрансфераза (ALT) IVD (діагностика in vitro), набір, ферментний спектрофотометричний аналіз; 53359 - Загальний холестерин IVD (діагностика in vitro), набір, ферментний спектрофотометричний аналіз</w:t>
            </w:r>
          </w:p>
        </w:tc>
      </w:tr>
      <w:tr w:rsidR="00790F84" w:rsidRPr="006B4622" w14:paraId="733542AF" w14:textId="77777777" w:rsidTr="002C65B8">
        <w:trPr>
          <w:trHeight w:val="522"/>
          <w:jc w:val="center"/>
        </w:trPr>
        <w:tc>
          <w:tcPr>
            <w:tcW w:w="844"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lastRenderedPageBreak/>
              <w:t>4.2</w:t>
            </w:r>
          </w:p>
        </w:tc>
        <w:tc>
          <w:tcPr>
            <w:tcW w:w="282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009"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2C65B8">
        <w:trPr>
          <w:trHeight w:val="522"/>
          <w:jc w:val="center"/>
        </w:trPr>
        <w:tc>
          <w:tcPr>
            <w:tcW w:w="844"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82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009"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3B908642" w:rsidR="00CC5AC4" w:rsidRDefault="00CC5AC4" w:rsidP="009B33EB">
            <w:r>
              <w:rPr>
                <w:lang w:val="ru-RU"/>
              </w:rPr>
              <w:t xml:space="preserve">Місце поставки: </w:t>
            </w:r>
            <w:r w:rsidR="005060AA">
              <w:t>290</w:t>
            </w:r>
            <w:r w:rsidR="00F704BB">
              <w:t>00,</w:t>
            </w:r>
            <w:r w:rsidRPr="002E46AC">
              <w:t xml:space="preserve"> м</w:t>
            </w:r>
            <w:r>
              <w:t>істо</w:t>
            </w:r>
            <w:r w:rsidRPr="002E46AC">
              <w:t xml:space="preserve"> Хмельницький</w:t>
            </w:r>
            <w:r>
              <w:t>,</w:t>
            </w:r>
            <w:r w:rsidRPr="002E46AC">
              <w:t xml:space="preserve"> вул</w:t>
            </w:r>
            <w:r>
              <w:t>иця</w:t>
            </w:r>
            <w:r w:rsidRPr="002E46AC">
              <w:t xml:space="preserve"> </w:t>
            </w:r>
            <w:r w:rsidR="00D40E20">
              <w:t>Григорія</w:t>
            </w:r>
            <w:proofErr w:type="gramStart"/>
            <w:r w:rsidR="00D40E20">
              <w:t xml:space="preserve"> С</w:t>
            </w:r>
            <w:proofErr w:type="gramEnd"/>
            <w:r w:rsidR="00D40E20">
              <w:t>ковороди,17</w:t>
            </w:r>
          </w:p>
          <w:p w14:paraId="2CF2A857" w14:textId="77777777" w:rsidR="00E47F23" w:rsidRPr="0034758D" w:rsidRDefault="00E47F23" w:rsidP="00CC5AC4"/>
        </w:tc>
      </w:tr>
      <w:tr w:rsidR="00E47F23" w:rsidRPr="006B4622" w14:paraId="24483738" w14:textId="77777777" w:rsidTr="002C65B8">
        <w:trPr>
          <w:trHeight w:val="891"/>
          <w:jc w:val="center"/>
        </w:trPr>
        <w:tc>
          <w:tcPr>
            <w:tcW w:w="844"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82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009" w:type="dxa"/>
            <w:shd w:val="clear" w:color="auto" w:fill="auto"/>
          </w:tcPr>
          <w:p w14:paraId="2B973434" w14:textId="6C8DC5B0"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2C6ACC">
              <w:rPr>
                <w:b/>
                <w:lang w:val="uk-UA"/>
              </w:rPr>
              <w:t>3</w:t>
            </w:r>
            <w:r w:rsidR="001779BE">
              <w:rPr>
                <w:b/>
                <w:lang w:val="uk-UA"/>
              </w:rPr>
              <w:t>1</w:t>
            </w:r>
            <w:r>
              <w:rPr>
                <w:b/>
                <w:lang w:val="uk-UA"/>
              </w:rPr>
              <w:t>.</w:t>
            </w:r>
            <w:r w:rsidR="001779BE">
              <w:rPr>
                <w:b/>
                <w:lang w:val="uk-UA"/>
              </w:rPr>
              <w:t>12</w:t>
            </w:r>
            <w:r>
              <w:rPr>
                <w:b/>
                <w:lang w:val="uk-UA"/>
              </w:rPr>
              <w:t>.202</w:t>
            </w:r>
            <w:r w:rsidR="00D13C7F">
              <w:rPr>
                <w:b/>
                <w:lang w:val="uk-UA"/>
              </w:rPr>
              <w:t>4</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2C65B8">
        <w:trPr>
          <w:trHeight w:val="522"/>
          <w:jc w:val="center"/>
        </w:trPr>
        <w:tc>
          <w:tcPr>
            <w:tcW w:w="844"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82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009" w:type="dxa"/>
            <w:shd w:val="clear" w:color="auto" w:fill="auto"/>
          </w:tcPr>
          <w:p w14:paraId="22576BB3" w14:textId="0D44FEB4" w:rsidR="00D620D2" w:rsidRDefault="007D2332" w:rsidP="00D620D2">
            <w:pPr>
              <w:ind w:left="38" w:right="34"/>
              <w:jc w:val="both"/>
            </w:pPr>
            <w:bookmarkStart w:id="1" w:name="_Hlk115305677"/>
            <w:r w:rsidRPr="007D2332">
              <w:rPr>
                <w:lang w:val="ru-RU"/>
              </w:rPr>
              <w:t>1</w:t>
            </w:r>
            <w:r>
              <w:rPr>
                <w:lang w:val="ru-RU"/>
              </w:rPr>
              <w:t>.5.1.</w:t>
            </w:r>
            <w:r w:rsidR="00D620D2" w:rsidRPr="00870B36">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D620D2" w:rsidRPr="00870B36">
              <w:t>р</w:t>
            </w:r>
            <w:proofErr w:type="gramEnd"/>
            <w:r w:rsidR="00D620D2" w:rsidRPr="00870B36">
              <w:t>івних умовах.</w:t>
            </w:r>
          </w:p>
          <w:p w14:paraId="31265C4E" w14:textId="2AEBEF1F" w:rsidR="00D620D2" w:rsidRPr="00870B36" w:rsidRDefault="007D2332" w:rsidP="00D620D2">
            <w:pPr>
              <w:ind w:left="38" w:right="34"/>
              <w:jc w:val="both"/>
            </w:pPr>
            <w:r>
              <w:lastRenderedPageBreak/>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766B1E32"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w:t>
            </w:r>
            <w:r w:rsidR="002C65B8">
              <w:rPr>
                <w:rFonts w:ascii="Times New Roman CYR" w:hAnsi="Times New Roman CYR" w:cs="Times New Roman CYR"/>
                <w:lang w:eastAsia="ar-SA"/>
              </w:rPr>
              <w:t xml:space="preserve"> </w:t>
            </w:r>
            <w:r w:rsidRPr="007D2332">
              <w:rPr>
                <w:rFonts w:ascii="Times New Roman CYR" w:hAnsi="Times New Roman CYR" w:cs="Times New Roman CYR"/>
                <w:lang w:eastAsia="ar-SA"/>
              </w:rPr>
              <w:t>— резидентів Російської Федерації/Республіки Білорусь</w:t>
            </w:r>
            <w:r w:rsidR="005865D5">
              <w:rPr>
                <w:rFonts w:ascii="Times New Roman CYR" w:hAnsi="Times New Roman CYR" w:cs="Times New Roman CYR"/>
                <w:lang w:eastAsia="ar-SA"/>
              </w:rPr>
              <w:t xml:space="preserve">/ </w:t>
            </w:r>
            <w:r w:rsidR="005865D5" w:rsidRPr="005865D5">
              <w:rPr>
                <w:rFonts w:ascii="Times New Roman CYR" w:hAnsi="Times New Roman CYR" w:cs="Times New Roman CYR"/>
                <w:lang w:eastAsia="ar-SA"/>
              </w:rPr>
              <w:t>Ісламської Республіки Іран</w:t>
            </w:r>
            <w:r w:rsidR="005865D5">
              <w:rPr>
                <w:rFonts w:ascii="Times New Roman CYR" w:hAnsi="Times New Roman CYR" w:cs="Times New Roman CYR"/>
                <w:lang w:eastAsia="ar-SA"/>
              </w:rPr>
              <w:t xml:space="preserve">, </w:t>
            </w:r>
            <w:r w:rsidRPr="007D2332">
              <w:rPr>
                <w:rFonts w:ascii="Times New Roman CYR" w:hAnsi="Times New Roman CYR" w:cs="Times New Roman CYR"/>
                <w:lang w:eastAsia="ar-S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5865D5">
              <w:rPr>
                <w:rFonts w:ascii="Times New Roman CYR" w:hAnsi="Times New Roman CYR" w:cs="Times New Roman CYR"/>
                <w:lang w:eastAsia="ar-SA"/>
              </w:rPr>
              <w:t>/</w:t>
            </w:r>
            <w:r w:rsidR="005865D5">
              <w:t xml:space="preserve"> </w:t>
            </w:r>
            <w:r w:rsidR="005865D5" w:rsidRPr="005865D5">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та юридичних осіб, кінцевими бенефіціарними власниками (власниками) яких є резиденти Російської Федерації/Республіки Білорусь</w:t>
            </w:r>
            <w:r w:rsidR="005865D5">
              <w:rPr>
                <w:rFonts w:ascii="Times New Roman CYR" w:hAnsi="Times New Roman CYR" w:cs="Times New Roman CYR"/>
                <w:lang w:eastAsia="ar-SA"/>
              </w:rPr>
              <w:t>/</w:t>
            </w:r>
            <w:r w:rsidR="005865D5">
              <w:t xml:space="preserve"> </w:t>
            </w:r>
            <w:r w:rsidR="005865D5" w:rsidRPr="005865D5">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та/або у фізичних осіб (фізичних осіб —підприємців) — резидентів Російської Федерації/Республіки Білорусь</w:t>
            </w:r>
            <w:r w:rsidR="005865D5">
              <w:rPr>
                <w:rFonts w:ascii="Times New Roman CYR" w:hAnsi="Times New Roman CYR" w:cs="Times New Roman CYR"/>
                <w:lang w:eastAsia="ar-SA"/>
              </w:rPr>
              <w:t>\</w:t>
            </w:r>
            <w:r w:rsidR="005865D5">
              <w:t xml:space="preserve"> </w:t>
            </w:r>
            <w:r w:rsidR="005865D5" w:rsidRPr="005865D5">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5865D5">
              <w:rPr>
                <w:rFonts w:ascii="Times New Roman CYR" w:hAnsi="Times New Roman CYR" w:cs="Times New Roman CYR"/>
                <w:lang w:eastAsia="ar-SA"/>
              </w:rPr>
              <w:t>/</w:t>
            </w:r>
            <w:r w:rsidR="005865D5">
              <w:t xml:space="preserve"> </w:t>
            </w:r>
            <w:r w:rsidR="005865D5" w:rsidRPr="005865D5">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1"/>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2C65B8">
        <w:trPr>
          <w:trHeight w:val="522"/>
          <w:jc w:val="center"/>
        </w:trPr>
        <w:tc>
          <w:tcPr>
            <w:tcW w:w="844"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82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 xml:space="preserve">Інформація про валюту, у якій </w:t>
            </w:r>
            <w:r w:rsidRPr="006B4622">
              <w:rPr>
                <w:b/>
                <w:lang w:eastAsia="uk-UA"/>
              </w:rPr>
              <w:lastRenderedPageBreak/>
              <w:t>повинно бути розраховано та зазначено ціну тендерної пропозиції</w:t>
            </w:r>
          </w:p>
        </w:tc>
        <w:tc>
          <w:tcPr>
            <w:tcW w:w="7009"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lastRenderedPageBreak/>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lastRenderedPageBreak/>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2C65B8">
        <w:trPr>
          <w:trHeight w:val="1658"/>
          <w:jc w:val="center"/>
        </w:trPr>
        <w:tc>
          <w:tcPr>
            <w:tcW w:w="844"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82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009"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lastRenderedPageBreak/>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2C65B8">
        <w:trPr>
          <w:trHeight w:val="1657"/>
          <w:jc w:val="center"/>
        </w:trPr>
        <w:tc>
          <w:tcPr>
            <w:tcW w:w="844"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82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09"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2C65B8">
        <w:trPr>
          <w:trHeight w:val="5485"/>
          <w:jc w:val="center"/>
        </w:trPr>
        <w:tc>
          <w:tcPr>
            <w:tcW w:w="844"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82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009"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2C65B8">
        <w:trPr>
          <w:trHeight w:val="522"/>
          <w:jc w:val="center"/>
        </w:trPr>
        <w:tc>
          <w:tcPr>
            <w:tcW w:w="844"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82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009"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006A033C" w:rsidRPr="006A033C">
              <w:rPr>
                <w:rFonts w:ascii="Times New Roman" w:hAnsi="Times New Roman"/>
                <w:sz w:val="24"/>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2C65B8">
        <w:trPr>
          <w:trHeight w:val="522"/>
          <w:jc w:val="center"/>
        </w:trPr>
        <w:tc>
          <w:tcPr>
            <w:tcW w:w="844"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82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009"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w:t>
            </w:r>
            <w:r w:rsidR="005616F8" w:rsidRPr="00322954">
              <w:rPr>
                <w:rFonts w:ascii="Times New Roman" w:hAnsi="Times New Roman" w:cs="Times New Roman"/>
                <w:sz w:val="24"/>
                <w:szCs w:val="24"/>
                <w:lang w:val="uk-UA"/>
              </w:rPr>
              <w:lastRenderedPageBreak/>
              <w:t>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w:t>
            </w:r>
            <w:r w:rsidR="00277370">
              <w:rPr>
                <w:color w:val="000000"/>
              </w:rPr>
              <w:lastRenderedPageBreak/>
              <w:t>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 xml:space="preserve">і у своїй тендерній пропозиції, при цьому замовником не вимагається </w:t>
            </w:r>
            <w:r>
              <w:rPr>
                <w:color w:val="000000"/>
              </w:rPr>
              <w:lastRenderedPageBreak/>
              <w:t>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2C65B8">
        <w:trPr>
          <w:trHeight w:val="410"/>
          <w:jc w:val="center"/>
        </w:trPr>
        <w:tc>
          <w:tcPr>
            <w:tcW w:w="844"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82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009"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2C65B8">
        <w:trPr>
          <w:trHeight w:val="522"/>
          <w:jc w:val="center"/>
        </w:trPr>
        <w:tc>
          <w:tcPr>
            <w:tcW w:w="844"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82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009"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2C65B8">
        <w:trPr>
          <w:trHeight w:val="522"/>
          <w:jc w:val="center"/>
        </w:trPr>
        <w:tc>
          <w:tcPr>
            <w:tcW w:w="844"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82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009"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 xml:space="preserve">і має </w:t>
            </w:r>
            <w:r w:rsidR="00465466">
              <w:rPr>
                <w:color w:val="000000"/>
              </w:rPr>
              <w:lastRenderedPageBreak/>
              <w:t>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2C65B8">
        <w:trPr>
          <w:trHeight w:val="522"/>
          <w:jc w:val="center"/>
        </w:trPr>
        <w:tc>
          <w:tcPr>
            <w:tcW w:w="844"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82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009"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5A2524E7"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Pr>
                <w:color w:val="000000"/>
                <w:shd w:val="solid" w:color="FFFFFF" w:fill="FFFFFF"/>
                <w:lang w:val="ru-RU" w:eastAsia="en-US"/>
              </w:rPr>
              <w:t>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7A0D0E">
              <w:rPr>
                <w:color w:val="000000"/>
                <w:shd w:val="solid" w:color="FFFFFF" w:fill="FFFFFF"/>
              </w:rPr>
              <w:lastRenderedPageBreak/>
              <w:t>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w:t>
            </w:r>
            <w:r w:rsidRPr="007A0D0E">
              <w:rPr>
                <w:color w:val="000000"/>
                <w:shd w:val="solid" w:color="FFFFFF" w:fill="FFFFFF"/>
              </w:rPr>
              <w:lastRenderedPageBreak/>
              <w:t xml:space="preserve">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5F8EA7FD"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ECF8B71" w:rsidR="00134FD3" w:rsidRPr="00134FD3" w:rsidRDefault="00C1788B" w:rsidP="00134FD3">
            <w:pPr>
              <w:spacing w:before="120"/>
              <w:jc w:val="both"/>
              <w:rPr>
                <w:color w:val="000000"/>
                <w:shd w:val="solid" w:color="FFFFFF" w:fill="FFFFFF"/>
              </w:rPr>
            </w:pPr>
            <w:r>
              <w:rPr>
                <w:color w:val="000000"/>
                <w:shd w:val="solid" w:color="FFFFFF" w:fill="FFFFFF"/>
              </w:rPr>
              <w:t>3.5.9.</w:t>
            </w:r>
            <w:r w:rsidR="00134FD3" w:rsidRPr="00134FD3">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w:t>
            </w:r>
            <w:r w:rsidRPr="00134FD3">
              <w:rPr>
                <w:color w:val="000000"/>
                <w:shd w:val="solid" w:color="FFFFFF" w:fill="FFFFFF"/>
              </w:rPr>
              <w:lastRenderedPageBreak/>
              <w:t>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 xml:space="preserve">3.5.12. Учасник нерезидент повинен надати зазначені документи з урахуванням особливостей законодавства його країни </w:t>
            </w:r>
            <w:r w:rsidRPr="00134FD3">
              <w:rPr>
                <w:color w:val="000000"/>
                <w:shd w:val="solid" w:color="FFFFFF" w:fill="FFFFFF"/>
              </w:rPr>
              <w:lastRenderedPageBreak/>
              <w:t>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2C65B8">
        <w:trPr>
          <w:trHeight w:val="522"/>
          <w:jc w:val="center"/>
        </w:trPr>
        <w:tc>
          <w:tcPr>
            <w:tcW w:w="844"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82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009"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2" w:name="n1434"/>
            <w:bookmarkEnd w:id="2"/>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3" w:name="_Hlk115298070"/>
            <w:r w:rsidRPr="00870B36">
              <w:t>6</w:t>
            </w:r>
            <w:r w:rsidRPr="00870B36">
              <w:rPr>
                <w:vertAlign w:val="superscript"/>
              </w:rPr>
              <w:t>1</w:t>
            </w:r>
            <w:bookmarkEnd w:id="3"/>
            <w:r w:rsidRPr="00870B36">
              <w:t xml:space="preserve"> </w:t>
            </w:r>
            <w:bookmarkStart w:id="4" w:name="_Hlk115298057"/>
            <w:r w:rsidRPr="00870B36">
              <w:t>Розділу X «ПРИКІНЦЕВІ ТА ПЕРЕХІДНІ ПОЛОЖЕННЯ» Закону України «Про публічні закупівлі»</w:t>
            </w:r>
            <w:bookmarkEnd w:id="4"/>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5" w:name="_Hlk115298744"/>
            <w:r w:rsidRPr="00870B36">
              <w:t xml:space="preserve">частини третьої статті 7 Закону України «Про енергетичну ефективність» </w:t>
            </w:r>
            <w:bookmarkEnd w:id="5"/>
            <w:r w:rsidRPr="00870B36">
              <w:t xml:space="preserve">Замовник вказує, що </w:t>
            </w:r>
            <w:r w:rsidRPr="00870B36">
              <w:rPr>
                <w:shd w:val="clear" w:color="auto" w:fill="FFFFFF"/>
              </w:rPr>
              <w:t xml:space="preserve">у випадку закупівлі </w:t>
            </w:r>
            <w:bookmarkStart w:id="6" w:name="_Hlk115298718"/>
            <w:r w:rsidRPr="00870B36">
              <w:rPr>
                <w:shd w:val="clear" w:color="auto" w:fill="FFFFFF"/>
              </w:rPr>
              <w:t>енергоспоживчої продукції (товарів)</w:t>
            </w:r>
            <w:bookmarkEnd w:id="6"/>
            <w:r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w:t>
            </w:r>
            <w:r w:rsidRPr="00870B36">
              <w:rPr>
                <w:shd w:val="clear" w:color="auto" w:fill="FFFFFF"/>
              </w:rPr>
              <w:lastRenderedPageBreak/>
              <w:t>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2C65B8">
        <w:trPr>
          <w:trHeight w:val="522"/>
          <w:jc w:val="center"/>
        </w:trPr>
        <w:tc>
          <w:tcPr>
            <w:tcW w:w="844"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82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09"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2C65B8">
        <w:trPr>
          <w:trHeight w:val="522"/>
          <w:jc w:val="center"/>
        </w:trPr>
        <w:tc>
          <w:tcPr>
            <w:tcW w:w="844"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82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009"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w:t>
            </w:r>
            <w:proofErr w:type="gramStart"/>
            <w:r w:rsidRPr="005C6A7D">
              <w:t>вл</w:t>
            </w:r>
            <w:proofErr w:type="gramEnd"/>
            <w:r w:rsidRPr="005C6A7D">
              <w:t>і є товар</w:t>
            </w:r>
          </w:p>
        </w:tc>
      </w:tr>
      <w:tr w:rsidR="0086338D" w:rsidRPr="006B4622" w14:paraId="0B5BE59B" w14:textId="77777777" w:rsidTr="002C65B8">
        <w:trPr>
          <w:trHeight w:val="1118"/>
          <w:jc w:val="center"/>
        </w:trPr>
        <w:tc>
          <w:tcPr>
            <w:tcW w:w="844"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82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009"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2C65B8">
        <w:trPr>
          <w:trHeight w:val="1117"/>
          <w:jc w:val="center"/>
        </w:trPr>
        <w:tc>
          <w:tcPr>
            <w:tcW w:w="844"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82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009"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2C65B8">
        <w:trPr>
          <w:trHeight w:val="522"/>
          <w:jc w:val="center"/>
        </w:trPr>
        <w:tc>
          <w:tcPr>
            <w:tcW w:w="844"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82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009" w:type="dxa"/>
            <w:shd w:val="clear" w:color="auto" w:fill="auto"/>
          </w:tcPr>
          <w:p w14:paraId="537CCA11" w14:textId="40D0F302" w:rsidR="0086338D" w:rsidRPr="009B7CB7" w:rsidRDefault="0086338D" w:rsidP="0086338D">
            <w:pPr>
              <w:widowControl w:val="0"/>
              <w:ind w:left="34" w:right="113"/>
              <w:contextualSpacing/>
              <w:jc w:val="both"/>
              <w:rPr>
                <w:b/>
                <w:lang w:val="ru-RU"/>
              </w:rPr>
            </w:pPr>
            <w:bookmarkStart w:id="7"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7"/>
            <w:r w:rsidR="00E90021" w:rsidRPr="002217ED">
              <w:t>тендерних про</w:t>
            </w:r>
            <w:r w:rsidR="002217ED" w:rsidRPr="002217ED">
              <w:t xml:space="preserve">позицій </w:t>
            </w:r>
            <w:r w:rsidR="00E90021" w:rsidRPr="009B7CB7">
              <w:rPr>
                <w:b/>
                <w:lang w:val="ru-RU"/>
              </w:rPr>
              <w:t>«</w:t>
            </w:r>
            <w:r w:rsidR="009B7CB7" w:rsidRPr="009B7CB7">
              <w:rPr>
                <w:b/>
                <w:lang w:val="ru-RU"/>
              </w:rPr>
              <w:t>04</w:t>
            </w:r>
            <w:r w:rsidRPr="009B7CB7">
              <w:rPr>
                <w:b/>
                <w:lang w:val="ru-RU"/>
              </w:rPr>
              <w:t xml:space="preserve">» </w:t>
            </w:r>
            <w:r w:rsidR="009B7CB7" w:rsidRPr="009B7CB7">
              <w:rPr>
                <w:b/>
                <w:lang w:val="ru-RU"/>
              </w:rPr>
              <w:t>квітня</w:t>
            </w:r>
            <w:r w:rsidR="002C65B8" w:rsidRPr="009B7CB7">
              <w:rPr>
                <w:b/>
                <w:lang w:val="ru-RU"/>
              </w:rPr>
              <w:t xml:space="preserve"> </w:t>
            </w:r>
            <w:r w:rsidRPr="009B7CB7">
              <w:rPr>
                <w:b/>
              </w:rPr>
              <w:t>202</w:t>
            </w:r>
            <w:r w:rsidR="00212FF4" w:rsidRPr="009B7CB7">
              <w:rPr>
                <w:b/>
              </w:rPr>
              <w:t>4</w:t>
            </w:r>
            <w:r w:rsidR="00E77A48" w:rsidRPr="009B7CB7">
              <w:rPr>
                <w:b/>
              </w:rPr>
              <w:t xml:space="preserve"> </w:t>
            </w:r>
            <w:r w:rsidRPr="009B7CB7">
              <w:rPr>
                <w:b/>
                <w:lang w:val="ru-RU"/>
              </w:rPr>
              <w:t>р</w:t>
            </w:r>
            <w:r w:rsidR="00E77A48" w:rsidRPr="009B7CB7">
              <w:rPr>
                <w:b/>
                <w:lang w:val="ru-RU"/>
              </w:rPr>
              <w:t>оку о 1</w:t>
            </w:r>
            <w:r w:rsidR="00A5469D" w:rsidRPr="009B7CB7">
              <w:rPr>
                <w:b/>
                <w:lang w:val="ru-RU"/>
              </w:rPr>
              <w:t>2</w:t>
            </w:r>
            <w:r w:rsidR="00E77A48" w:rsidRPr="009B7CB7">
              <w:rPr>
                <w:b/>
                <w:lang w:val="ru-RU"/>
              </w:rPr>
              <w:t>:00 год.</w:t>
            </w:r>
          </w:p>
          <w:p w14:paraId="7560DC9E" w14:textId="77777777" w:rsidR="0086338D" w:rsidRDefault="0086338D" w:rsidP="0086338D">
            <w:pPr>
              <w:pStyle w:val="aa"/>
              <w:spacing w:before="150" w:beforeAutospacing="0" w:after="150" w:afterAutospacing="0"/>
              <w:jc w:val="both"/>
            </w:pPr>
            <w:r w:rsidRPr="009B7CB7">
              <w:t xml:space="preserve">Тендерні пропозиції </w:t>
            </w:r>
            <w:proofErr w:type="gramStart"/>
            <w:r w:rsidRPr="009B7CB7">
              <w:t>п</w:t>
            </w:r>
            <w:proofErr w:type="gramEnd"/>
            <w:r w:rsidRPr="009B7CB7">
              <w:t>ісля закінчення кінцевого</w:t>
            </w:r>
            <w:r>
              <w:rPr>
                <w:color w:val="000000"/>
              </w:rPr>
              <w:t xml:space="preserve"> строку їх </w:t>
            </w:r>
            <w:r>
              <w:rPr>
                <w:color w:val="000000"/>
              </w:rPr>
              <w:lastRenderedPageBreak/>
              <w:t>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2C65B8">
        <w:trPr>
          <w:trHeight w:val="522"/>
          <w:jc w:val="center"/>
        </w:trPr>
        <w:tc>
          <w:tcPr>
            <w:tcW w:w="844"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82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009" w:type="dxa"/>
            <w:shd w:val="clear" w:color="auto" w:fill="auto"/>
          </w:tcPr>
          <w:p w14:paraId="68D6D67E" w14:textId="4079E8CD" w:rsidR="0086338D" w:rsidRPr="006B4622" w:rsidRDefault="0086338D" w:rsidP="0080459B">
            <w:pPr>
              <w:widowControl w:val="0"/>
              <w:spacing w:after="60"/>
              <w:ind w:right="113"/>
              <w:contextualSpacing/>
              <w:jc w:val="both"/>
            </w:pP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2C65B8">
        <w:trPr>
          <w:trHeight w:val="411"/>
          <w:jc w:val="center"/>
        </w:trPr>
        <w:tc>
          <w:tcPr>
            <w:tcW w:w="844"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82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009" w:type="dxa"/>
            <w:shd w:val="clear" w:color="auto" w:fill="auto"/>
            <w:vAlign w:val="center"/>
          </w:tcPr>
          <w:p w14:paraId="2DC65A21" w14:textId="73E6A74C" w:rsidR="001143AA" w:rsidRDefault="0086338D" w:rsidP="00DA0346">
            <w:pPr>
              <w:pStyle w:val="aa"/>
              <w:spacing w:before="0" w:after="0"/>
              <w:ind w:left="60" w:right="126"/>
              <w:jc w:val="both"/>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DA0346">
              <w:rPr>
                <w:shd w:val="clear" w:color="auto" w:fill="FFFFFF"/>
                <w:lang w:val="uk-UA"/>
              </w:rPr>
              <w:t>.</w:t>
            </w: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2C65B8">
        <w:trPr>
          <w:trHeight w:val="522"/>
          <w:jc w:val="center"/>
        </w:trPr>
        <w:tc>
          <w:tcPr>
            <w:tcW w:w="844"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82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009"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34C71AC6" w:rsidR="0086338D" w:rsidRDefault="0086338D" w:rsidP="005865D5">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w:t>
            </w:r>
            <w:proofErr w:type="gramStart"/>
            <w:r>
              <w:rPr>
                <w:color w:val="000000"/>
              </w:rPr>
              <w:t xml:space="preserve"> Р</w:t>
            </w:r>
            <w:proofErr w:type="gramEnd"/>
            <w:r>
              <w:rPr>
                <w:color w:val="000000"/>
              </w:rPr>
              <w:t>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та/або юридичною особою, кінцевим бенефіціарним власником (власником) якої є резидент (резиденти) Російської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xml:space="preserve">, або фізичною </w:t>
            </w:r>
            <w:r>
              <w:rPr>
                <w:color w:val="000000"/>
              </w:rPr>
              <w:lastRenderedPageBreak/>
              <w:t>особою (фізичною особою – підприємцем) – резидентом</w:t>
            </w:r>
            <w:proofErr w:type="gramStart"/>
            <w:r>
              <w:rPr>
                <w:color w:val="000000"/>
              </w:rPr>
              <w:t xml:space="preserve"> Р</w:t>
            </w:r>
            <w:proofErr w:type="gramEnd"/>
            <w:r>
              <w:rPr>
                <w:color w:val="000000"/>
              </w:rPr>
              <w:t>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або є суб’єктом господарювання, що здійснює продаж товарів, робіт, послуг походженням з Російської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Pr>
                <w:color w:val="000000"/>
              </w:rPr>
              <w:t>стр</w:t>
            </w:r>
            <w:proofErr w:type="gramEnd"/>
            <w:r>
              <w:rPr>
                <w:color w:val="000000"/>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w:t>
            </w:r>
            <w:r>
              <w:rPr>
                <w:color w:val="000000"/>
              </w:rPr>
              <w:lastRenderedPageBreak/>
              <w:t xml:space="preserve">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2C65B8">
        <w:trPr>
          <w:trHeight w:val="522"/>
          <w:jc w:val="center"/>
        </w:trPr>
        <w:tc>
          <w:tcPr>
            <w:tcW w:w="844"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82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009"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2C65B8">
        <w:trPr>
          <w:trHeight w:val="522"/>
          <w:jc w:val="center"/>
        </w:trPr>
        <w:tc>
          <w:tcPr>
            <w:tcW w:w="844"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82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009"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lastRenderedPageBreak/>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2C65B8">
        <w:trPr>
          <w:trHeight w:val="522"/>
          <w:jc w:val="center"/>
        </w:trPr>
        <w:tc>
          <w:tcPr>
            <w:tcW w:w="844"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82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009"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2C65B8">
        <w:trPr>
          <w:trHeight w:val="522"/>
          <w:jc w:val="center"/>
        </w:trPr>
        <w:tc>
          <w:tcPr>
            <w:tcW w:w="844"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82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009"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2C65B8">
        <w:trPr>
          <w:trHeight w:val="522"/>
          <w:jc w:val="center"/>
        </w:trPr>
        <w:tc>
          <w:tcPr>
            <w:tcW w:w="844"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82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009"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1F1A15FD" w:rsidR="0086338D" w:rsidRPr="0064431F" w:rsidRDefault="0086338D" w:rsidP="0086338D">
            <w:pPr>
              <w:pStyle w:val="aa"/>
              <w:spacing w:before="150" w:beforeAutospacing="0" w:after="150" w:afterAutospacing="0"/>
              <w:jc w:val="both"/>
              <w:rPr>
                <w:lang w:val="uk-UA"/>
              </w:rPr>
            </w:pPr>
            <w:r w:rsidRPr="0064431F">
              <w:rPr>
                <w:color w:val="000000"/>
                <w:lang w:val="uk-UA"/>
              </w:rPr>
              <w:lastRenderedPageBreak/>
              <w:t>Умови договору про закупівлю не повинні відрізнятися від змісту тендерної пропозиції переможця процедури закупівлі, крім випадків:</w:t>
            </w:r>
            <w:r w:rsidRPr="00DE5DC4">
              <w:rPr>
                <w:color w:val="000000"/>
              </w:rPr>
              <w:t>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 xml:space="preserve">визначення </w:t>
            </w:r>
            <w:proofErr w:type="gramStart"/>
            <w:r w:rsidRPr="00DE5DC4">
              <w:rPr>
                <w:color w:val="000000"/>
              </w:rPr>
              <w:t>грошового</w:t>
            </w:r>
            <w:proofErr w:type="gramEnd"/>
            <w:r w:rsidRPr="00DE5DC4">
              <w:rPr>
                <w:color w:val="000000"/>
              </w:rPr>
              <w:t xml:space="preserve"> еквівалента зобов’язання в іноземній валюті; </w:t>
            </w:r>
          </w:p>
          <w:p w14:paraId="1A06267A" w14:textId="720DC3A5"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 xml:space="preserve">перерахунку ціни за результатами </w:t>
            </w:r>
            <w:r w:rsidR="0064431F">
              <w:rPr>
                <w:color w:val="000000"/>
                <w:lang w:val="uk-UA"/>
              </w:rPr>
              <w:t>процедури закупі</w:t>
            </w:r>
            <w:proofErr w:type="gramStart"/>
            <w:r w:rsidR="0064431F">
              <w:rPr>
                <w:color w:val="000000"/>
                <w:lang w:val="uk-UA"/>
              </w:rPr>
              <w:t>вл</w:t>
            </w:r>
            <w:proofErr w:type="gramEnd"/>
            <w:r w:rsidR="0064431F">
              <w:rPr>
                <w:color w:val="000000"/>
                <w:lang w:val="uk-UA"/>
              </w:rPr>
              <w:t>і</w:t>
            </w:r>
            <w:r w:rsidRPr="00DE5DC4">
              <w:rPr>
                <w:color w:val="000000"/>
              </w:rPr>
              <w:t xml:space="preserve"> в бік зменшення ціни тендерної пропозиції учасника без зменшення обсягів закупівлі;</w:t>
            </w:r>
          </w:p>
          <w:p w14:paraId="78FEE4EB" w14:textId="44C62326" w:rsidR="0086338D" w:rsidRPr="00DE5DC4" w:rsidRDefault="0086338D" w:rsidP="0086338D">
            <w:pPr>
              <w:pStyle w:val="aa"/>
              <w:numPr>
                <w:ilvl w:val="0"/>
                <w:numId w:val="21"/>
              </w:numPr>
              <w:spacing w:before="0" w:beforeAutospacing="0" w:after="150" w:afterAutospacing="0"/>
              <w:jc w:val="both"/>
              <w:textAlignment w:val="baseline"/>
              <w:rPr>
                <w:color w:val="000000"/>
              </w:rPr>
            </w:pPr>
            <w:r w:rsidRPr="00DE5DC4">
              <w:rPr>
                <w:color w:val="000000"/>
              </w:rPr>
              <w:t xml:space="preserve">перерахунку ціни та обсягів товарів за результатами </w:t>
            </w:r>
            <w:r w:rsidR="0064431F">
              <w:rPr>
                <w:color w:val="000000"/>
                <w:lang w:val="uk-UA"/>
              </w:rPr>
              <w:t>процедури закупі</w:t>
            </w:r>
            <w:proofErr w:type="gramStart"/>
            <w:r w:rsidR="0064431F">
              <w:rPr>
                <w:color w:val="000000"/>
                <w:lang w:val="uk-UA"/>
              </w:rPr>
              <w:t>вл</w:t>
            </w:r>
            <w:proofErr w:type="gramEnd"/>
            <w:r w:rsidR="0064431F">
              <w:rPr>
                <w:color w:val="000000"/>
                <w:lang w:val="uk-UA"/>
              </w:rPr>
              <w:t>і</w:t>
            </w:r>
            <w:r w:rsidRPr="00DE5DC4">
              <w:rPr>
                <w:color w:val="000000"/>
              </w:rPr>
              <w:t xml:space="preserve"> в бік зменшення за умови необхідності приведення обсягів товарів до кратності упаковки.</w:t>
            </w:r>
          </w:p>
          <w:p w14:paraId="65A0F9F7" w14:textId="77777777" w:rsidR="0086338D" w:rsidRPr="00DE5DC4" w:rsidRDefault="0086338D" w:rsidP="0086338D">
            <w:pPr>
              <w:pStyle w:val="aa"/>
              <w:spacing w:before="150" w:beforeAutospacing="0" w:after="150" w:afterAutospacing="0"/>
              <w:jc w:val="both"/>
            </w:pPr>
            <w:r w:rsidRPr="00DE5DC4">
              <w:rPr>
                <w:color w:val="000000"/>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DE5DC4">
              <w:rPr>
                <w:color w:val="000000"/>
              </w:rPr>
              <w:t>п</w:t>
            </w:r>
            <w:proofErr w:type="gramEnd"/>
            <w:r w:rsidRPr="00DE5DC4">
              <w:rPr>
                <w:color w:val="000000"/>
              </w:rPr>
              <w:t>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w:t>
            </w:r>
            <w:proofErr w:type="gramStart"/>
            <w:r w:rsidRPr="00DE5DC4">
              <w:rPr>
                <w:color w:val="000000"/>
              </w:rPr>
              <w:t>вл</w:t>
            </w:r>
            <w:proofErr w:type="gramEnd"/>
            <w:r w:rsidRPr="00DE5DC4">
              <w:rPr>
                <w:color w:val="000000"/>
              </w:rPr>
              <w:t>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 xml:space="preserve">Істотні умови договору про закупівлю не можуть змінюватися </w:t>
            </w:r>
            <w:proofErr w:type="gramStart"/>
            <w:r w:rsidRPr="00623912">
              <w:rPr>
                <w:color w:val="000000"/>
              </w:rPr>
              <w:t>п</w:t>
            </w:r>
            <w:proofErr w:type="gramEnd"/>
            <w:r w:rsidRPr="00623912">
              <w:rPr>
                <w:color w:val="000000"/>
              </w:rPr>
              <w:t>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623912">
              <w:rPr>
                <w:color w:val="000000"/>
                <w:lang w:eastAsia="en-US"/>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2C65B8">
        <w:trPr>
          <w:trHeight w:val="522"/>
          <w:jc w:val="center"/>
        </w:trPr>
        <w:tc>
          <w:tcPr>
            <w:tcW w:w="844"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82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009"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2C65B8">
        <w:trPr>
          <w:trHeight w:val="522"/>
          <w:jc w:val="center"/>
        </w:trPr>
        <w:tc>
          <w:tcPr>
            <w:tcW w:w="844"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82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009"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92C3B" w14:textId="77777777" w:rsidR="006D258F" w:rsidRDefault="006D258F" w:rsidP="00207BBB">
      <w:pPr>
        <w:pStyle w:val="CharChar"/>
      </w:pPr>
      <w:r>
        <w:separator/>
      </w:r>
    </w:p>
  </w:endnote>
  <w:endnote w:type="continuationSeparator" w:id="0">
    <w:p w14:paraId="191E3CFC" w14:textId="77777777" w:rsidR="006D258F" w:rsidRDefault="006D258F"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1779BE" w:rsidRDefault="001779BE"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1A1CA5D7" w14:textId="77777777" w:rsidR="001779BE" w:rsidRDefault="001779B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1779BE" w:rsidRDefault="001779BE"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BE2874">
      <w:rPr>
        <w:rStyle w:val="a3"/>
        <w:noProof/>
      </w:rPr>
      <w:t>16</w:t>
    </w:r>
    <w:r>
      <w:rPr>
        <w:rStyle w:val="a3"/>
      </w:rPr>
      <w:fldChar w:fldCharType="end"/>
    </w:r>
  </w:p>
  <w:p w14:paraId="2863F7DA" w14:textId="77777777" w:rsidR="001779BE" w:rsidRDefault="001779BE"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E30E9" w14:textId="77777777" w:rsidR="006D258F" w:rsidRDefault="006D258F" w:rsidP="00207BBB">
      <w:pPr>
        <w:pStyle w:val="CharChar"/>
      </w:pPr>
      <w:r>
        <w:separator/>
      </w:r>
    </w:p>
  </w:footnote>
  <w:footnote w:type="continuationSeparator" w:id="0">
    <w:p w14:paraId="279E6CDD" w14:textId="77777777" w:rsidR="006D258F" w:rsidRDefault="006D258F"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481D"/>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5AEF"/>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66254"/>
    <w:rsid w:val="001717BB"/>
    <w:rsid w:val="00171DF9"/>
    <w:rsid w:val="0017272E"/>
    <w:rsid w:val="00173ACB"/>
    <w:rsid w:val="0017556A"/>
    <w:rsid w:val="00175D30"/>
    <w:rsid w:val="00176924"/>
    <w:rsid w:val="00176B85"/>
    <w:rsid w:val="001779BE"/>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2FF4"/>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4408"/>
    <w:rsid w:val="00245AF5"/>
    <w:rsid w:val="00250142"/>
    <w:rsid w:val="00250CA5"/>
    <w:rsid w:val="002513FC"/>
    <w:rsid w:val="00252691"/>
    <w:rsid w:val="0025323F"/>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5B17"/>
    <w:rsid w:val="002C65B8"/>
    <w:rsid w:val="002C6ACC"/>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3FD6"/>
    <w:rsid w:val="00304B2F"/>
    <w:rsid w:val="00304B7C"/>
    <w:rsid w:val="003065A5"/>
    <w:rsid w:val="00306EDF"/>
    <w:rsid w:val="00311B34"/>
    <w:rsid w:val="00312BB3"/>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1B5F"/>
    <w:rsid w:val="00373A3B"/>
    <w:rsid w:val="003740E9"/>
    <w:rsid w:val="003748B0"/>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2BFE"/>
    <w:rsid w:val="004840B1"/>
    <w:rsid w:val="00484B9B"/>
    <w:rsid w:val="00485CF5"/>
    <w:rsid w:val="00490991"/>
    <w:rsid w:val="004915BE"/>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437A"/>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5D5"/>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EF5"/>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AEC"/>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258F"/>
    <w:rsid w:val="006D324F"/>
    <w:rsid w:val="006D4A6C"/>
    <w:rsid w:val="006D5055"/>
    <w:rsid w:val="006D50DC"/>
    <w:rsid w:val="006D6D66"/>
    <w:rsid w:val="006D73D7"/>
    <w:rsid w:val="006D773A"/>
    <w:rsid w:val="006D778D"/>
    <w:rsid w:val="006D7FC3"/>
    <w:rsid w:val="006E0A14"/>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3BAC"/>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48EF"/>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05A"/>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BC"/>
    <w:rsid w:val="009720DF"/>
    <w:rsid w:val="00972A8D"/>
    <w:rsid w:val="00972C0D"/>
    <w:rsid w:val="00972F97"/>
    <w:rsid w:val="00973569"/>
    <w:rsid w:val="00973A4B"/>
    <w:rsid w:val="00973D5D"/>
    <w:rsid w:val="00975CA5"/>
    <w:rsid w:val="00976803"/>
    <w:rsid w:val="0097735D"/>
    <w:rsid w:val="0097765D"/>
    <w:rsid w:val="0098010C"/>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0AC"/>
    <w:rsid w:val="009A7577"/>
    <w:rsid w:val="009A7FD6"/>
    <w:rsid w:val="009B22BC"/>
    <w:rsid w:val="009B2A85"/>
    <w:rsid w:val="009B33EB"/>
    <w:rsid w:val="009B5649"/>
    <w:rsid w:val="009B65F7"/>
    <w:rsid w:val="009B67D9"/>
    <w:rsid w:val="009B6896"/>
    <w:rsid w:val="009B7CB7"/>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C7E5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04F"/>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6993"/>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1A7"/>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96E"/>
    <w:rsid w:val="00BE01C9"/>
    <w:rsid w:val="00BE0280"/>
    <w:rsid w:val="00BE1AB0"/>
    <w:rsid w:val="00BE21DD"/>
    <w:rsid w:val="00BE2874"/>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88B"/>
    <w:rsid w:val="00C17C3D"/>
    <w:rsid w:val="00C213BF"/>
    <w:rsid w:val="00C220CD"/>
    <w:rsid w:val="00C2388E"/>
    <w:rsid w:val="00C24CAB"/>
    <w:rsid w:val="00C254EC"/>
    <w:rsid w:val="00C26288"/>
    <w:rsid w:val="00C27B7C"/>
    <w:rsid w:val="00C27C48"/>
    <w:rsid w:val="00C27CBB"/>
    <w:rsid w:val="00C30B91"/>
    <w:rsid w:val="00C31FE9"/>
    <w:rsid w:val="00C32EE1"/>
    <w:rsid w:val="00C33A91"/>
    <w:rsid w:val="00C35E36"/>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2F2"/>
    <w:rsid w:val="00D03843"/>
    <w:rsid w:val="00D04783"/>
    <w:rsid w:val="00D048CF"/>
    <w:rsid w:val="00D0493E"/>
    <w:rsid w:val="00D04C08"/>
    <w:rsid w:val="00D0789E"/>
    <w:rsid w:val="00D07E2A"/>
    <w:rsid w:val="00D10588"/>
    <w:rsid w:val="00D1241D"/>
    <w:rsid w:val="00D1263D"/>
    <w:rsid w:val="00D13C7F"/>
    <w:rsid w:val="00D14BD5"/>
    <w:rsid w:val="00D15519"/>
    <w:rsid w:val="00D15B3B"/>
    <w:rsid w:val="00D15DC5"/>
    <w:rsid w:val="00D15F03"/>
    <w:rsid w:val="00D16C8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E00"/>
    <w:rsid w:val="00D47D15"/>
    <w:rsid w:val="00D50C2B"/>
    <w:rsid w:val="00D51B69"/>
    <w:rsid w:val="00D5204D"/>
    <w:rsid w:val="00D5295A"/>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2B9B"/>
    <w:rsid w:val="00E3348D"/>
    <w:rsid w:val="00E337B9"/>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2EC8"/>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3EA"/>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419"/>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E7BA0"/>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0AA7A-7DBD-4A29-A3B3-E2E5BE27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24</Pages>
  <Words>39364</Words>
  <Characters>22439</Characters>
  <Application>Microsoft Office Word</Application>
  <DocSecurity>0</DocSecurity>
  <Lines>186</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184</cp:revision>
  <cp:lastPrinted>2021-04-19T11:44:00Z</cp:lastPrinted>
  <dcterms:created xsi:type="dcterms:W3CDTF">2022-10-20T10:48:00Z</dcterms:created>
  <dcterms:modified xsi:type="dcterms:W3CDTF">2024-03-27T09:25:00Z</dcterms:modified>
</cp:coreProperties>
</file>