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353CE0" w:rsidP="00D36491">
            <w:pPr>
              <w:rPr>
                <w:rFonts w:ascii="Times New Roman" w:hAnsi="Times New Roman"/>
                <w:bCs/>
                <w:color w:val="FF0000"/>
                <w:sz w:val="24"/>
                <w:szCs w:val="24"/>
              </w:rPr>
            </w:pPr>
            <w:r>
              <w:rPr>
                <w:rFonts w:ascii="Times New Roman" w:hAnsi="Times New Roman"/>
                <w:color w:val="000000" w:themeColor="text1"/>
                <w:sz w:val="24"/>
                <w:szCs w:val="24"/>
              </w:rPr>
              <w:t>0</w:t>
            </w:r>
            <w:r w:rsidR="004656EA">
              <w:rPr>
                <w:rFonts w:ascii="Times New Roman" w:hAnsi="Times New Roman"/>
                <w:color w:val="000000" w:themeColor="text1"/>
                <w:sz w:val="24"/>
                <w:szCs w:val="24"/>
              </w:rPr>
              <w:t>8</w:t>
            </w:r>
            <w:r>
              <w:rPr>
                <w:rFonts w:ascii="Times New Roman" w:hAnsi="Times New Roman"/>
                <w:color w:val="000000" w:themeColor="text1"/>
                <w:sz w:val="24"/>
                <w:szCs w:val="24"/>
              </w:rPr>
              <w:t xml:space="preserve"> вересня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DD6B29">
              <w:rPr>
                <w:rFonts w:ascii="Times New Roman" w:hAnsi="Times New Roman"/>
                <w:color w:val="000000" w:themeColor="text1"/>
                <w:sz w:val="24"/>
                <w:szCs w:val="24"/>
              </w:rPr>
              <w:t>1</w:t>
            </w:r>
            <w:r w:rsidR="00280C8A">
              <w:rPr>
                <w:rFonts w:ascii="Times New Roman" w:hAnsi="Times New Roman"/>
                <w:color w:val="000000" w:themeColor="text1"/>
                <w:sz w:val="24"/>
                <w:szCs w:val="24"/>
              </w:rPr>
              <w:t>8</w:t>
            </w:r>
            <w:r w:rsidR="004656EA">
              <w:rPr>
                <w:rFonts w:ascii="Times New Roman" w:hAnsi="Times New Roman"/>
                <w:color w:val="000000" w:themeColor="text1"/>
                <w:sz w:val="24"/>
                <w:szCs w:val="24"/>
              </w:rPr>
              <w:t>9</w:t>
            </w:r>
            <w:r w:rsidR="00D36491">
              <w:rPr>
                <w:rFonts w:ascii="Times New Roman" w:hAnsi="Times New Roman"/>
                <w:sz w:val="24"/>
                <w:szCs w:val="24"/>
              </w:rPr>
              <w:t>,</w:t>
            </w:r>
            <w:r w:rsidR="00D36491">
              <w:rPr>
                <w:rFonts w:ascii="Times New Roman" w:hAnsi="Times New Roman"/>
                <w:sz w:val="24"/>
                <w:szCs w:val="24"/>
              </w:rPr>
              <w:br/>
            </w:r>
            <w:r w:rsidR="00D36491" w:rsidRPr="0058562F">
              <w:rPr>
                <w:rFonts w:ascii="Times New Roman" w:hAnsi="Times New Roman"/>
                <w:sz w:val="24"/>
                <w:szCs w:val="24"/>
              </w:rPr>
              <w:t>зі змінами згідно</w:t>
            </w:r>
            <w:r w:rsidR="00D36491">
              <w:rPr>
                <w:rFonts w:ascii="Times New Roman" w:hAnsi="Times New Roman"/>
                <w:sz w:val="24"/>
                <w:szCs w:val="24"/>
              </w:rPr>
              <w:t xml:space="preserve"> з</w:t>
            </w:r>
            <w:r w:rsidR="00D36491" w:rsidRPr="0058562F">
              <w:rPr>
                <w:rFonts w:ascii="Times New Roman" w:hAnsi="Times New Roman"/>
                <w:sz w:val="24"/>
                <w:szCs w:val="24"/>
              </w:rPr>
              <w:t xml:space="preserve"> протокол</w:t>
            </w:r>
            <w:r w:rsidR="00D36491">
              <w:rPr>
                <w:rFonts w:ascii="Times New Roman" w:hAnsi="Times New Roman"/>
                <w:sz w:val="24"/>
                <w:szCs w:val="24"/>
              </w:rPr>
              <w:t>ом</w:t>
            </w:r>
            <w:r w:rsidR="00D36491" w:rsidRPr="0058562F">
              <w:rPr>
                <w:rFonts w:ascii="Times New Roman" w:hAnsi="Times New Roman"/>
                <w:sz w:val="24"/>
                <w:szCs w:val="24"/>
              </w:rPr>
              <w:t xml:space="preserve"> </w:t>
            </w:r>
            <w:r w:rsidR="00D36491" w:rsidRPr="0058562F">
              <w:rPr>
                <w:rFonts w:ascii="Times New Roman" w:hAnsi="Times New Roman"/>
                <w:color w:val="000000" w:themeColor="text1"/>
                <w:sz w:val="24"/>
                <w:szCs w:val="24"/>
              </w:rPr>
              <w:t>прийняття рішення уповноваженою особою</w:t>
            </w:r>
            <w:r w:rsidR="00D36491" w:rsidRPr="0058562F">
              <w:rPr>
                <w:rFonts w:ascii="Times New Roman" w:hAnsi="Times New Roman"/>
                <w:sz w:val="24"/>
                <w:szCs w:val="24"/>
              </w:rPr>
              <w:t xml:space="preserve"> </w:t>
            </w:r>
            <w:r w:rsidR="00D36491">
              <w:rPr>
                <w:rFonts w:ascii="Times New Roman" w:hAnsi="Times New Roman"/>
                <w:sz w:val="24"/>
                <w:szCs w:val="24"/>
              </w:rPr>
              <w:br/>
            </w:r>
            <w:r w:rsidR="00D36491" w:rsidRPr="0058562F">
              <w:rPr>
                <w:rFonts w:ascii="Times New Roman" w:hAnsi="Times New Roman"/>
                <w:sz w:val="24"/>
                <w:szCs w:val="24"/>
              </w:rPr>
              <w:t xml:space="preserve">від </w:t>
            </w:r>
            <w:r w:rsidR="00D36491">
              <w:rPr>
                <w:rFonts w:ascii="Times New Roman" w:hAnsi="Times New Roman"/>
                <w:sz w:val="24"/>
                <w:szCs w:val="24"/>
              </w:rPr>
              <w:t>11 вересня 2023 р.</w:t>
            </w:r>
            <w:r w:rsidR="00D36491" w:rsidRPr="0058562F">
              <w:rPr>
                <w:rFonts w:ascii="Times New Roman" w:hAnsi="Times New Roman"/>
                <w:sz w:val="24"/>
                <w:szCs w:val="24"/>
              </w:rPr>
              <w:t xml:space="preserve"> № </w:t>
            </w:r>
            <w:r w:rsidR="00D36491">
              <w:rPr>
                <w:rFonts w:ascii="Times New Roman" w:hAnsi="Times New Roman"/>
                <w:sz w:val="24"/>
                <w:szCs w:val="24"/>
              </w:rPr>
              <w:t>19</w:t>
            </w:r>
            <w:r w:rsidR="00D36491">
              <w:rPr>
                <w:rFonts w:ascii="Times New Roman" w:hAnsi="Times New Roman"/>
                <w:sz w:val="24"/>
                <w:szCs w:val="24"/>
              </w:rPr>
              <w:t>1</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D36491" w:rsidP="00D36491">
      <w:pPr>
        <w:pStyle w:val="FR1"/>
        <w:jc w:val="center"/>
        <w:rPr>
          <w:b/>
          <w:sz w:val="24"/>
          <w:szCs w:val="24"/>
        </w:rPr>
      </w:pPr>
      <w:r>
        <w:rPr>
          <w:b/>
          <w:sz w:val="24"/>
          <w:szCs w:val="24"/>
        </w:rPr>
        <w:t>(нова редакція)</w:t>
      </w: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56EDE" w:rsidRPr="00DF7031" w:rsidRDefault="00353CE0" w:rsidP="006E3B82">
      <w:pPr>
        <w:jc w:val="center"/>
        <w:rPr>
          <w:rFonts w:ascii="Times New Roman" w:eastAsia="Times New Roman" w:hAnsi="Times New Roman" w:cs="Times New Roman"/>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 xml:space="preserve">вулиці </w:t>
      </w:r>
      <w:r w:rsidR="004656EA">
        <w:rPr>
          <w:rFonts w:ascii="Times New Roman" w:eastAsia="Times New Roman" w:hAnsi="Times New Roman" w:cs="Times New Roman"/>
          <w:b/>
          <w:sz w:val="24"/>
          <w:szCs w:val="24"/>
        </w:rPr>
        <w:t>Спінози</w:t>
      </w:r>
      <w:r>
        <w:rPr>
          <w:rFonts w:ascii="Times New Roman" w:eastAsia="Times New Roman" w:hAnsi="Times New Roman" w:cs="Times New Roman"/>
          <w:b/>
          <w:sz w:val="24"/>
          <w:szCs w:val="24"/>
        </w:rPr>
        <w:t xml:space="preserve"> м. Умань Черкаської області</w:t>
      </w:r>
      <w:r w:rsidR="00025256" w:rsidRPr="00FD166A">
        <w:rPr>
          <w:rFonts w:ascii="Times New Roman" w:eastAsia="Times New Roman" w:hAnsi="Times New Roman" w:cs="Times New Roman"/>
          <w:b/>
          <w:sz w:val="24"/>
          <w:szCs w:val="24"/>
        </w:rPr>
        <w:t xml:space="preserve">, </w:t>
      </w:r>
      <w:r w:rsidR="004717ED">
        <w:rPr>
          <w:rFonts w:ascii="Times New Roman" w:eastAsia="Times New Roman" w:hAnsi="Times New Roman" w:cs="Times New Roman"/>
          <w:b/>
          <w:sz w:val="24"/>
          <w:szCs w:val="24"/>
        </w:rPr>
        <w:br/>
      </w:r>
      <w:r w:rsidR="00025256"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353CE0" w:rsidP="004656EA">
            <w:pPr>
              <w:ind w:left="40" w:firstLine="514"/>
              <w:jc w:val="both"/>
              <w:rPr>
                <w:rFonts w:ascii="Times New Roman" w:eastAsia="Times New Roman" w:hAnsi="Times New Roman" w:cs="Times New Roman"/>
                <w:sz w:val="24"/>
                <w:szCs w:val="24"/>
              </w:rPr>
            </w:pPr>
            <w:r w:rsidRPr="00353CE0">
              <w:rPr>
                <w:rFonts w:ascii="Times New Roman" w:hAnsi="Times New Roman"/>
                <w:sz w:val="24"/>
                <w:szCs w:val="24"/>
              </w:rPr>
              <w:t xml:space="preserve">Поточний ремонт вулиці </w:t>
            </w:r>
            <w:r w:rsidR="004656EA">
              <w:rPr>
                <w:rFonts w:ascii="Times New Roman" w:hAnsi="Times New Roman"/>
                <w:sz w:val="24"/>
                <w:szCs w:val="24"/>
              </w:rPr>
              <w:t>Спінози</w:t>
            </w:r>
            <w:r w:rsidRPr="00353CE0">
              <w:rPr>
                <w:rFonts w:ascii="Times New Roman" w:hAnsi="Times New Roman"/>
                <w:sz w:val="24"/>
                <w:szCs w:val="24"/>
              </w:rPr>
              <w:t xml:space="preserve"> м.</w:t>
            </w:r>
            <w:r w:rsidR="00CF0CBF">
              <w:rPr>
                <w:rFonts w:ascii="Times New Roman" w:hAnsi="Times New Roman"/>
                <w:sz w:val="24"/>
                <w:szCs w:val="24"/>
              </w:rPr>
              <w:t> </w:t>
            </w:r>
            <w:r w:rsidRPr="00353CE0">
              <w:rPr>
                <w:rFonts w:ascii="Times New Roman" w:hAnsi="Times New Roman"/>
                <w:sz w:val="24"/>
                <w:szCs w:val="24"/>
              </w:rPr>
              <w:t>Умань Черкаської області</w:t>
            </w:r>
            <w:r w:rsidR="00872B96" w:rsidRPr="00872B96">
              <w:rPr>
                <w:rFonts w:ascii="Times New Roman" w:hAnsi="Times New Roman"/>
                <w:sz w:val="24"/>
                <w:szCs w:val="24"/>
              </w:rPr>
              <w:t>,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 xml:space="preserve">місто Умань, </w:t>
            </w:r>
            <w:r w:rsidR="000B588C">
              <w:rPr>
                <w:rFonts w:ascii="Times New Roman" w:hAnsi="Times New Roman"/>
                <w:sz w:val="24"/>
                <w:szCs w:val="24"/>
              </w:rPr>
              <w:t xml:space="preserve">вулиця </w:t>
            </w:r>
            <w:r w:rsidR="004656EA">
              <w:rPr>
                <w:rFonts w:ascii="Times New Roman" w:hAnsi="Times New Roman"/>
                <w:sz w:val="24"/>
                <w:szCs w:val="24"/>
              </w:rPr>
              <w:t>Спінози</w:t>
            </w:r>
            <w:r w:rsidR="00570514">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4656EA">
              <w:rPr>
                <w:rFonts w:ascii="Times New Roman" w:hAnsi="Times New Roman"/>
                <w:color w:val="000000" w:themeColor="text1"/>
                <w:sz w:val="24"/>
                <w:szCs w:val="24"/>
                <w:lang w:val="uk-UA"/>
              </w:rPr>
              <w:t>20</w:t>
            </w:r>
            <w:r w:rsidR="00353CE0">
              <w:rPr>
                <w:rFonts w:ascii="Times New Roman" w:hAnsi="Times New Roman"/>
                <w:color w:val="000000" w:themeColor="text1"/>
                <w:sz w:val="24"/>
                <w:szCs w:val="24"/>
                <w:lang w:val="uk-UA"/>
              </w:rPr>
              <w:t>.10</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D42049" w:rsidRPr="00D42049">
              <w:rPr>
                <w:rFonts w:eastAsia="Calibri" w:cs="Calibri"/>
                <w:lang w:val="uk-UA" w:eastAsia="zh-CN"/>
              </w:rPr>
              <w:lastRenderedPageBreak/>
              <w:t>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w:t>
            </w:r>
            <w:r w:rsidR="00F163A5" w:rsidRPr="00F163A5">
              <w:rPr>
                <w:color w:val="000000"/>
                <w:lang w:val="uk-UA"/>
              </w:rPr>
              <w:lastRenderedPageBreak/>
              <w:t>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00DD338F" w:rsidRPr="00DD338F">
              <w:rPr>
                <w:rFonts w:ascii="Times New Roman" w:eastAsia="Times New Roman" w:hAnsi="Times New Roman" w:cs="Times New Roman"/>
                <w:color w:val="000000"/>
                <w:sz w:val="24"/>
                <w:szCs w:val="24"/>
              </w:rPr>
              <w:lastRenderedPageBreak/>
              <w:t>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w:t>
            </w:r>
            <w:r w:rsidRPr="00423E13">
              <w:rPr>
                <w:rFonts w:ascii="Times New Roman" w:hAnsi="Times New Roman"/>
                <w:spacing w:val="1"/>
                <w:sz w:val="24"/>
                <w:szCs w:val="24"/>
              </w:rPr>
              <w:lastRenderedPageBreak/>
              <w:t>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 xml:space="preserve">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w:t>
            </w:r>
            <w:r w:rsidRPr="00423E13">
              <w:rPr>
                <w:rFonts w:ascii="Times New Roman" w:hAnsi="Times New Roman"/>
                <w:color w:val="000000" w:themeColor="text1"/>
                <w:sz w:val="24"/>
                <w:szCs w:val="24"/>
              </w:rPr>
              <w:lastRenderedPageBreak/>
              <w:t>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w:t>
            </w:r>
            <w:r w:rsidRPr="00423E13">
              <w:rPr>
                <w:rFonts w:ascii="Times New Roman" w:eastAsia="Times New Roman" w:hAnsi="Times New Roman"/>
                <w:i/>
                <w:color w:val="000000"/>
                <w:sz w:val="24"/>
                <w:szCs w:val="24"/>
                <w:lang w:eastAsia="ru-RU"/>
              </w:rPr>
              <w:lastRenderedPageBreak/>
              <w:t>якої є вищою ніж очікувана вартість предмета 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w:t>
            </w:r>
            <w:r w:rsidRPr="00423E13">
              <w:rPr>
                <w:rFonts w:ascii="Times New Roman" w:eastAsia="Times New Roman" w:hAnsi="Times New Roman"/>
                <w:sz w:val="24"/>
                <w:szCs w:val="24"/>
                <w:lang w:eastAsia="zh-CN"/>
              </w:rPr>
              <w:lastRenderedPageBreak/>
              <w:t>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 xml:space="preserve">Для транспортних засобів за договором надання послуг – надати в складі пропозиції договір надання послуг (з переліком техніки) та свідоцтва про </w:t>
            </w:r>
            <w:r w:rsidRPr="00423E13">
              <w:rPr>
                <w:rFonts w:ascii="Times New Roman" w:hAnsi="Times New Roman" w:cs="Times New Roman"/>
                <w:sz w:val="24"/>
                <w:szCs w:val="24"/>
              </w:rPr>
              <w:lastRenderedPageBreak/>
              <w:t>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w:t>
            </w:r>
            <w:r w:rsidR="003A4CD6" w:rsidRPr="00D12D40">
              <w:rPr>
                <w:rFonts w:ascii="Times New Roman" w:eastAsia="Times New Roman" w:hAnsi="Times New Roman"/>
                <w:sz w:val="24"/>
                <w:szCs w:val="24"/>
                <w:lang w:eastAsia="zh-CN"/>
              </w:rPr>
              <w:lastRenderedPageBreak/>
              <w:t xml:space="preserve">саме: довідку, складену Учасником у довільній формі про наявність стаціонарного асфальтобетонного заводу 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w:t>
            </w:r>
            <w:r w:rsidRPr="00D12D40">
              <w:rPr>
                <w:rFonts w:ascii="Times New Roman" w:eastAsia="Times New Roman" w:hAnsi="Times New Roman"/>
                <w:sz w:val="24"/>
                <w:szCs w:val="24"/>
                <w:lang w:eastAsia="zh-CN"/>
              </w:rPr>
              <w:lastRenderedPageBreak/>
              <w:t xml:space="preserve">оренди з власником асфальтобетонного заводу; лист-підтвердження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w:t>
            </w:r>
            <w:r w:rsidR="0055233F" w:rsidRPr="00423E13">
              <w:rPr>
                <w:rFonts w:ascii="Times New Roman" w:eastAsia="Times New Roman" w:hAnsi="Times New Roman"/>
                <w:sz w:val="24"/>
                <w:szCs w:val="24"/>
                <w:lang w:eastAsia="zh-CN"/>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w:t>
            </w:r>
            <w:r w:rsidRPr="00EC2AA3">
              <w:rPr>
                <w:rFonts w:ascii="Times New Roman" w:eastAsia="Calibri" w:hAnsi="Times New Roman" w:cs="Calibri"/>
                <w:color w:val="000000"/>
                <w:sz w:val="24"/>
                <w:szCs w:val="24"/>
                <w:shd w:val="solid" w:color="FFFFFF" w:fill="FFFFFF"/>
                <w:lang w:eastAsia="en-US"/>
              </w:rPr>
              <w:lastRenderedPageBreak/>
              <w:t>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00D36491" w:rsidRPr="005B4B6F">
              <w:rPr>
                <w:rFonts w:ascii="Times New Roman" w:eastAsia="Calibri" w:hAnsi="Times New Roman" w:cs="Calibri"/>
                <w:color w:val="000000"/>
                <w:sz w:val="24"/>
                <w:szCs w:val="24"/>
                <w:highlight w:val="yellow"/>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7" w:name="_GoBack"/>
            <w:bookmarkEnd w:id="7"/>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00EC2AA3" w:rsidRPr="00EC2AA3">
              <w:rPr>
                <w:rFonts w:ascii="Times New Roman" w:hAnsi="Times New Roman"/>
                <w:color w:val="000000"/>
                <w:sz w:val="24"/>
                <w:szCs w:val="24"/>
                <w:shd w:val="solid" w:color="FFFFFF" w:fill="FFFFFF"/>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Договірна ціна встановлюється </w:t>
            </w:r>
            <w:r w:rsidRPr="00280C8A">
              <w:rPr>
                <w:rFonts w:ascii="Times New Roman" w:hAnsi="Times New Roman"/>
                <w:b/>
                <w:color w:val="000000" w:themeColor="text1"/>
                <w:sz w:val="24"/>
                <w:szCs w:val="24"/>
              </w:rPr>
              <w:t>твердою</w:t>
            </w:r>
            <w:r w:rsidRPr="00616728">
              <w:rPr>
                <w:rFonts w:ascii="Times New Roman" w:hAnsi="Times New Roman"/>
                <w:color w:val="000000" w:themeColor="text1"/>
                <w:sz w:val="24"/>
                <w:szCs w:val="24"/>
              </w:rPr>
              <w:t>.</w:t>
            </w:r>
          </w:p>
          <w:p w:rsidR="00280C8A" w:rsidRPr="00A11E7A" w:rsidRDefault="00280C8A" w:rsidP="00280C8A">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Pr="00A11E7A">
              <w:rPr>
                <w:rFonts w:ascii="Times New Roman" w:hAnsi="Times New Roman"/>
                <w:i/>
                <w:sz w:val="24"/>
                <w:szCs w:val="24"/>
              </w:rPr>
              <w:t xml:space="preserve">враховано розмір кошторисної </w:t>
            </w:r>
            <w:r w:rsidRPr="00A11E7A">
              <w:rPr>
                <w:rFonts w:ascii="Times New Roman" w:hAnsi="Times New Roman"/>
                <w:b/>
                <w:i/>
                <w:sz w:val="24"/>
                <w:szCs w:val="24"/>
              </w:rPr>
              <w:t>заробітної плати</w:t>
            </w:r>
            <w:r w:rsidRPr="00A11E7A">
              <w:rPr>
                <w:rFonts w:ascii="Times New Roman" w:hAnsi="Times New Roman"/>
                <w:i/>
                <w:sz w:val="24"/>
                <w:szCs w:val="24"/>
              </w:rPr>
              <w:t xml:space="preserve"> - </w:t>
            </w:r>
            <w:r w:rsidRPr="00A11E7A">
              <w:rPr>
                <w:rFonts w:ascii="Times New Roman" w:hAnsi="Times New Roman"/>
                <w:b/>
                <w:i/>
                <w:sz w:val="24"/>
                <w:szCs w:val="24"/>
              </w:rPr>
              <w:t>12 558,80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lastRenderedPageBreak/>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lastRenderedPageBreak/>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F166C">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w:t>
            </w:r>
            <w:r w:rsidR="000F166C">
              <w:rPr>
                <w:rFonts w:ascii="Times New Roman" w:hAnsi="Times New Roman"/>
                <w:color w:val="000000" w:themeColor="text1"/>
                <w:sz w:val="24"/>
                <w:szCs w:val="24"/>
              </w:rPr>
              <w:t xml:space="preserve"> </w:t>
            </w:r>
            <w:r w:rsidR="00EF2970" w:rsidRPr="006877EF">
              <w:rPr>
                <w:rFonts w:ascii="Times New Roman" w:hAnsi="Times New Roman"/>
                <w:color w:val="000000" w:themeColor="text1"/>
                <w:sz w:val="24"/>
                <w:szCs w:val="24"/>
              </w:rPr>
              <w:t>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CA2438">
              <w:rPr>
                <w:rFonts w:ascii="Times New Roman" w:eastAsia="Times New Roman" w:hAnsi="Times New Roman" w:cs="Times New Roman"/>
                <w:b/>
                <w:sz w:val="24"/>
                <w:szCs w:val="24"/>
              </w:rPr>
              <w:t>1</w:t>
            </w:r>
            <w:r w:rsidR="00F961F1">
              <w:rPr>
                <w:rFonts w:ascii="Times New Roman" w:eastAsia="Times New Roman" w:hAnsi="Times New Roman" w:cs="Times New Roman"/>
                <w:b/>
                <w:sz w:val="24"/>
                <w:szCs w:val="24"/>
              </w:rPr>
              <w:t>7</w:t>
            </w:r>
            <w:r w:rsidR="00570514">
              <w:rPr>
                <w:rFonts w:ascii="Times New Roman" w:eastAsia="Times New Roman" w:hAnsi="Times New Roman" w:cs="Times New Roman"/>
                <w:b/>
                <w:sz w:val="24"/>
                <w:szCs w:val="24"/>
              </w:rPr>
              <w:t xml:space="preserve"> </w:t>
            </w:r>
            <w:r w:rsidR="00280C8A">
              <w:rPr>
                <w:rFonts w:ascii="Times New Roman" w:eastAsia="Times New Roman" w:hAnsi="Times New Roman" w:cs="Times New Roman"/>
                <w:b/>
                <w:sz w:val="24"/>
                <w:szCs w:val="24"/>
              </w:rPr>
              <w:t>вересня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F961F1">
              <w:rPr>
                <w:rFonts w:ascii="Times New Roman" w:eastAsia="Times New Roman" w:hAnsi="Times New Roman" w:cs="Times New Roman"/>
                <w:b/>
                <w:color w:val="000000" w:themeColor="text1"/>
                <w:sz w:val="24"/>
                <w:szCs w:val="24"/>
              </w:rPr>
              <w:t>12</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w:t>
            </w:r>
            <w:r w:rsidR="00B337A6" w:rsidRPr="00423E13">
              <w:rPr>
                <w:rFonts w:ascii="Times New Roman" w:eastAsia="Times New Roman" w:hAnsi="Times New Roman" w:cs="Times New Roman"/>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7A" w:rsidRDefault="0057407A">
      <w:r>
        <w:separator/>
      </w:r>
    </w:p>
  </w:endnote>
  <w:endnote w:type="continuationSeparator" w:id="0">
    <w:p w:rsidR="0057407A" w:rsidRDefault="0057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7A" w:rsidRDefault="0057407A">
      <w:r>
        <w:separator/>
      </w:r>
    </w:p>
  </w:footnote>
  <w:footnote w:type="continuationSeparator" w:id="0">
    <w:p w:rsidR="0057407A" w:rsidRDefault="0057407A">
      <w:r>
        <w:continuationSeparator/>
      </w:r>
    </w:p>
  </w:footnote>
  <w:footnote w:id="1">
    <w:p w:rsidR="004656EA" w:rsidRPr="009F76FE" w:rsidRDefault="004656EA"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4656EA" w:rsidRPr="009F76FE" w:rsidRDefault="004656EA"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4656EA" w:rsidRPr="009F76FE" w:rsidRDefault="004656EA" w:rsidP="009F76FE">
      <w:pPr>
        <w:tabs>
          <w:tab w:val="left" w:pos="0"/>
        </w:tabs>
        <w:jc w:val="both"/>
        <w:rPr>
          <w:rFonts w:ascii="Times New Roman" w:hAnsi="Times New Roman"/>
          <w:i/>
        </w:rPr>
      </w:pPr>
      <w:r w:rsidRPr="009F76FE">
        <w:rPr>
          <w:rFonts w:ascii="Times New Roman" w:hAnsi="Times New Roman"/>
          <w:i/>
        </w:rPr>
        <w:t xml:space="preserve">   або</w:t>
      </w:r>
    </w:p>
    <w:p w:rsidR="004656EA" w:rsidRPr="009F76FE" w:rsidRDefault="004656EA"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4656EA" w:rsidRPr="009F76FE" w:rsidRDefault="004656EA" w:rsidP="009F76FE">
      <w:pPr>
        <w:tabs>
          <w:tab w:val="left" w:pos="0"/>
        </w:tabs>
        <w:jc w:val="both"/>
        <w:rPr>
          <w:rFonts w:ascii="Times New Roman" w:hAnsi="Times New Roman"/>
          <w:i/>
        </w:rPr>
      </w:pPr>
      <w:r w:rsidRPr="009F76FE">
        <w:rPr>
          <w:rFonts w:ascii="Times New Roman" w:hAnsi="Times New Roman"/>
          <w:i/>
        </w:rPr>
        <w:t xml:space="preserve">   або</w:t>
      </w:r>
    </w:p>
    <w:p w:rsidR="004656EA" w:rsidRPr="009F76FE" w:rsidRDefault="004656EA"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4656EA" w:rsidRPr="001E26DC" w:rsidRDefault="004656EA">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4656EA" w:rsidRPr="008E5302" w:rsidRDefault="004656EA"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4656EA" w:rsidRPr="00814319" w:rsidRDefault="004656EA"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4656EA" w:rsidRPr="000B6B72" w:rsidRDefault="004656EA">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4656EA" w:rsidRDefault="004656EA">
        <w:pPr>
          <w:pStyle w:val="a6"/>
          <w:jc w:val="center"/>
        </w:pPr>
        <w:r>
          <w:fldChar w:fldCharType="begin"/>
        </w:r>
        <w:r>
          <w:instrText>PAGE   \* MERGEFORMAT</w:instrText>
        </w:r>
        <w:r>
          <w:fldChar w:fldCharType="separate"/>
        </w:r>
        <w:r w:rsidR="00D36491" w:rsidRPr="00D36491">
          <w:rPr>
            <w:noProof/>
            <w:lang w:val="ru-RU"/>
          </w:rPr>
          <w:t>15</w:t>
        </w:r>
        <w:r>
          <w:rPr>
            <w:noProof/>
            <w:lang w:val="ru-RU"/>
          </w:rPr>
          <w:fldChar w:fldCharType="end"/>
        </w:r>
      </w:p>
    </w:sdtContent>
  </w:sdt>
  <w:p w:rsidR="004656EA" w:rsidRDefault="004656EA">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2DB6"/>
    <w:rsid w:val="00123B3E"/>
    <w:rsid w:val="00124DCD"/>
    <w:rsid w:val="00126E97"/>
    <w:rsid w:val="001367F5"/>
    <w:rsid w:val="00140398"/>
    <w:rsid w:val="0014360C"/>
    <w:rsid w:val="001441B8"/>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0C8A"/>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3CE0"/>
    <w:rsid w:val="00355E32"/>
    <w:rsid w:val="00356096"/>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407A"/>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70B"/>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6D42"/>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48D3"/>
    <w:rsid w:val="00AF5726"/>
    <w:rsid w:val="00B01616"/>
    <w:rsid w:val="00B01D7A"/>
    <w:rsid w:val="00B10736"/>
    <w:rsid w:val="00B109CC"/>
    <w:rsid w:val="00B136A6"/>
    <w:rsid w:val="00B1638D"/>
    <w:rsid w:val="00B17EFD"/>
    <w:rsid w:val="00B24097"/>
    <w:rsid w:val="00B27404"/>
    <w:rsid w:val="00B337A6"/>
    <w:rsid w:val="00B33D8E"/>
    <w:rsid w:val="00B424E7"/>
    <w:rsid w:val="00B43686"/>
    <w:rsid w:val="00B464D5"/>
    <w:rsid w:val="00B510B2"/>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31926"/>
    <w:rsid w:val="00D36491"/>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76C5"/>
    <w:rsid w:val="00FB0ED8"/>
    <w:rsid w:val="00FB1EEA"/>
    <w:rsid w:val="00FB50DD"/>
    <w:rsid w:val="00FB5254"/>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C7A7"/>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D847-7B62-4B18-B0C7-04B56CA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11357</TotalTime>
  <Pages>30</Pages>
  <Words>11016</Words>
  <Characters>62797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307</cp:revision>
  <cp:lastPrinted>2023-03-28T13:27:00Z</cp:lastPrinted>
  <dcterms:created xsi:type="dcterms:W3CDTF">2020-05-28T13:08:00Z</dcterms:created>
  <dcterms:modified xsi:type="dcterms:W3CDTF">2023-09-11T11:43:00Z</dcterms:modified>
</cp:coreProperties>
</file>