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661C58" w:rsidRPr="00661C58">
        <w:rPr>
          <w:rFonts w:ascii="Times New Roman" w:eastAsia="Times New Roman" w:hAnsi="Times New Roman" w:cs="Times New Roman"/>
          <w:b/>
          <w:i/>
          <w:sz w:val="24"/>
          <w:szCs w:val="24"/>
          <w:lang w:eastAsia="ru-RU"/>
        </w:rPr>
        <w:t xml:space="preserve">Система водопідготовки з  встановленням точки розливу питної води та води для приготування їжі </w:t>
      </w:r>
      <w:r w:rsidR="00661C58" w:rsidRPr="00661C58">
        <w:rPr>
          <w:rFonts w:ascii="Times New Roman" w:eastAsia="Times New Roman" w:hAnsi="Times New Roman" w:cs="Times New Roman"/>
          <w:b/>
          <w:bCs/>
          <w:i/>
          <w:sz w:val="24"/>
          <w:szCs w:val="24"/>
          <w:lang w:eastAsia="ru-RU"/>
        </w:rPr>
        <w:t>(Код за ДК 021:2015: 42910000-8 – Апарати для дистилювання, фільтрування чи ректифікації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5642EA" w:rsidRPr="005642EA">
        <w:rPr>
          <w:rFonts w:ascii="Times New Roman" w:eastAsia="Times New Roman" w:hAnsi="Times New Roman" w:cs="Times New Roman"/>
          <w:bCs/>
          <w:snapToGrid w:val="0"/>
          <w:sz w:val="20"/>
          <w:szCs w:val="20"/>
          <w:lang w:eastAsia="ru-RU"/>
        </w:rPr>
        <w:t>видатки з благоустрою населених пунктів</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9C6D3C" w:rsidRDefault="00215694" w:rsidP="009C6D3C">
      <w:pPr>
        <w:spacing w:after="0" w:line="240" w:lineRule="auto"/>
        <w:jc w:val="both"/>
        <w:rPr>
          <w:rFonts w:ascii="Times New Roman" w:eastAsia="Times New Roman" w:hAnsi="Times New Roman" w:cs="Times New Roman"/>
          <w:color w:val="000000"/>
          <w:sz w:val="23"/>
          <w:szCs w:val="23"/>
          <w:lang w:eastAsia="ru-RU"/>
        </w:rPr>
      </w:pPr>
      <w:r w:rsidRPr="00215694">
        <w:rPr>
          <w:rFonts w:ascii="Times New Roman" w:eastAsia="Times New Roman" w:hAnsi="Times New Roman" w:cs="Times New Roman"/>
          <w:color w:val="000000"/>
          <w:sz w:val="21"/>
          <w:szCs w:val="21"/>
          <w:lang w:eastAsia="ru-RU"/>
        </w:rPr>
        <w:t>2.3. Вимоги до Товару:</w:t>
      </w:r>
      <w:r w:rsidR="009C6D3C" w:rsidRPr="009C6D3C">
        <w:rPr>
          <w:rFonts w:ascii="Times New Roman" w:eastAsia="Times New Roman" w:hAnsi="Times New Roman" w:cs="Times New Roman"/>
          <w:color w:val="000000"/>
          <w:sz w:val="23"/>
          <w:szCs w:val="23"/>
          <w:lang w:eastAsia="ru-RU"/>
        </w:rPr>
        <w:t xml:space="preserve"> </w:t>
      </w:r>
    </w:p>
    <w:p w:rsidR="009C6D3C" w:rsidRPr="009C6D3C" w:rsidRDefault="009C6D3C" w:rsidP="009C6D3C">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_GoBack"/>
      <w:bookmarkEnd w:id="11"/>
      <w:r w:rsidRPr="009C6D3C">
        <w:rPr>
          <w:rFonts w:ascii="Times New Roman" w:eastAsia="Times New Roman" w:hAnsi="Times New Roman" w:cs="Times New Roman"/>
          <w:color w:val="000000"/>
          <w:sz w:val="21"/>
          <w:szCs w:val="21"/>
          <w:lang w:eastAsia="ru-RU"/>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661C58">
        <w:rPr>
          <w:rFonts w:ascii="Times New Roman" w:eastAsia="Times New Roman" w:hAnsi="Times New Roman" w:cs="Times New Roman"/>
          <w:sz w:val="21"/>
          <w:szCs w:val="21"/>
          <w:lang w:val="ru-RU" w:eastAsia="ru-RU"/>
        </w:rPr>
        <w:t>протягом</w:t>
      </w:r>
      <w:proofErr w:type="gramEnd"/>
      <w:r w:rsidR="00661C58">
        <w:rPr>
          <w:rFonts w:ascii="Times New Roman" w:eastAsia="Times New Roman" w:hAnsi="Times New Roman" w:cs="Times New Roman"/>
          <w:sz w:val="21"/>
          <w:szCs w:val="21"/>
          <w:lang w:val="ru-RU" w:eastAsia="ru-RU"/>
        </w:rPr>
        <w:t xml:space="preserve"> трьох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r w:rsidR="009C6D3C">
        <w:rPr>
          <w:rFonts w:ascii="Times New Roman" w:eastAsia="Times New Roman" w:hAnsi="Times New Roman" w:cs="Times New Roman"/>
          <w:sz w:val="21"/>
          <w:szCs w:val="21"/>
          <w:lang w:val="ru-RU" w:eastAsia="ru-RU"/>
        </w:rPr>
        <w:t>м.Київ, проспект Науки,53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Відшкодовувати  Замовнику</w:t>
      </w:r>
      <w:proofErr w:type="gramEnd"/>
      <w:r w:rsidRPr="00382242">
        <w:rPr>
          <w:rFonts w:ascii="Times New Roman" w:eastAsia="Times New Roman" w:hAnsi="Times New Roman" w:cs="Times New Roman"/>
          <w:lang w:val="ru-RU" w:eastAsia="ru-RU"/>
        </w:rPr>
        <w:t xml:space="preserve">  усі збитки заподіяні  невиконанням або неналежним виконанням Постачальником   своїх зобов’язань  за даним договором; </w:t>
      </w:r>
    </w:p>
    <w:p w:rsidR="009C6D3C" w:rsidRDefault="009C6D3C" w:rsidP="009C6D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Відшкодовувати  Замовнику</w:t>
      </w:r>
      <w:proofErr w:type="gramEnd"/>
      <w:r w:rsidRPr="00382242">
        <w:rPr>
          <w:rFonts w:ascii="Times New Roman" w:eastAsia="Times New Roman" w:hAnsi="Times New Roman" w:cs="Times New Roman"/>
          <w:lang w:val="ru-RU" w:eastAsia="ru-RU"/>
        </w:rPr>
        <w:t xml:space="preserve">  усі збитки заподіяні</w:t>
      </w:r>
      <w:r>
        <w:rPr>
          <w:rFonts w:ascii="Times New Roman" w:eastAsia="Times New Roman" w:hAnsi="Times New Roman" w:cs="Times New Roman"/>
          <w:lang w:val="ru-RU" w:eastAsia="ru-RU"/>
        </w:rPr>
        <w:t xml:space="preserve"> постачанням </w:t>
      </w:r>
      <w:r w:rsidRPr="009C6D3C">
        <w:rPr>
          <w:rFonts w:ascii="Times New Roman" w:eastAsia="Times New Roman" w:hAnsi="Times New Roman" w:cs="Times New Roman"/>
          <w:lang w:val="ru-RU" w:eastAsia="ru-RU"/>
        </w:rPr>
        <w:t>неналежної якості товару</w:t>
      </w:r>
      <w:r>
        <w:rPr>
          <w:rFonts w:ascii="Times New Roman" w:eastAsia="Times New Roman" w:hAnsi="Times New Roman" w:cs="Times New Roman"/>
          <w:lang w:val="ru-RU" w:eastAsia="ru-RU"/>
        </w:rPr>
        <w:t>, які виявлені у процесі експлуатації товару.</w:t>
      </w:r>
    </w:p>
    <w:p w:rsidR="009C6D3C" w:rsidRPr="009C6D3C" w:rsidRDefault="009C6D3C" w:rsidP="009C6D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Відшкодувати Замовнику вартість проведеної експертизи.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A48D0">
        <w:rPr>
          <w:rFonts w:ascii="Times New Roman" w:eastAsia="Times New Roman" w:hAnsi="Times New Roman" w:cs="Times New Roman"/>
          <w:snapToGrid w:val="0"/>
          <w:lang w:eastAsia="ru-RU"/>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Дата </w:t>
            </w:r>
            <w:r w:rsidRPr="00382242">
              <w:rPr>
                <w:rFonts w:ascii="Times New Roman" w:eastAsia="Times New Roman" w:hAnsi="Times New Roman" w:cs="Times New Roman"/>
                <w:sz w:val="28"/>
                <w:szCs w:val="28"/>
                <w:lang w:val="ru-RU" w:eastAsia="ru-RU"/>
              </w:rPr>
              <w:lastRenderedPageBreak/>
              <w:t>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Найменування </w:t>
            </w:r>
            <w:r w:rsidRPr="00382242">
              <w:rPr>
                <w:rFonts w:ascii="Times New Roman" w:eastAsia="Times New Roman" w:hAnsi="Times New Roman" w:cs="Times New Roman"/>
                <w:sz w:val="28"/>
                <w:szCs w:val="28"/>
                <w:lang w:val="ru-RU" w:eastAsia="ru-RU"/>
              </w:rPr>
              <w:lastRenderedPageBreak/>
              <w:t>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AB1"/>
    <w:multiLevelType w:val="multilevel"/>
    <w:tmpl w:val="F3768E82"/>
    <w:lvl w:ilvl="0">
      <w:start w:val="1"/>
      <w:numFmt w:val="decimal"/>
      <w:lvlText w:val="2.%1."/>
      <w:lvlJc w:val="left"/>
      <w:pPr>
        <w:ind w:left="502" w:hanging="360"/>
      </w:pPr>
      <w:rPr>
        <w:b w:val="0"/>
        <w:i w:val="0"/>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2A64C1"/>
    <w:rsid w:val="00382242"/>
    <w:rsid w:val="003F73B8"/>
    <w:rsid w:val="00473EFF"/>
    <w:rsid w:val="00496D43"/>
    <w:rsid w:val="00497CE0"/>
    <w:rsid w:val="00531E1E"/>
    <w:rsid w:val="005642EA"/>
    <w:rsid w:val="00594B23"/>
    <w:rsid w:val="0060032E"/>
    <w:rsid w:val="0064626C"/>
    <w:rsid w:val="00661C58"/>
    <w:rsid w:val="00680B8B"/>
    <w:rsid w:val="00775BE7"/>
    <w:rsid w:val="007C7343"/>
    <w:rsid w:val="008139A3"/>
    <w:rsid w:val="0082073C"/>
    <w:rsid w:val="008914C2"/>
    <w:rsid w:val="00943265"/>
    <w:rsid w:val="009C6D3C"/>
    <w:rsid w:val="009E5268"/>
    <w:rsid w:val="00AC2272"/>
    <w:rsid w:val="00AC70DF"/>
    <w:rsid w:val="00B20533"/>
    <w:rsid w:val="00B25A2E"/>
    <w:rsid w:val="00B441F5"/>
    <w:rsid w:val="00BA2F58"/>
    <w:rsid w:val="00C502CB"/>
    <w:rsid w:val="00C70C55"/>
    <w:rsid w:val="00D11939"/>
    <w:rsid w:val="00D6566C"/>
    <w:rsid w:val="00DA48D0"/>
    <w:rsid w:val="00DD49C5"/>
    <w:rsid w:val="00E04C39"/>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2111"/>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4010953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13249</Words>
  <Characters>7553</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34</cp:revision>
  <dcterms:created xsi:type="dcterms:W3CDTF">2022-11-10T11:11:00Z</dcterms:created>
  <dcterms:modified xsi:type="dcterms:W3CDTF">2024-05-01T08:20:00Z</dcterms:modified>
</cp:coreProperties>
</file>