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2B" w:rsidRPr="008F3C52" w:rsidRDefault="00A1602B" w:rsidP="00A1602B">
      <w:pPr>
        <w:contextualSpacing/>
        <w:jc w:val="right"/>
        <w:textAlignment w:val="baseline"/>
        <w:rPr>
          <w:b/>
          <w:bCs/>
          <w:lang w:val="uk-UA"/>
        </w:rPr>
      </w:pPr>
      <w:bookmarkStart w:id="0" w:name="_Hlk508232786"/>
      <w:r w:rsidRPr="008F3C52">
        <w:rPr>
          <w:b/>
          <w:bCs/>
          <w:lang w:val="uk-UA"/>
        </w:rPr>
        <w:t>Додаток 2</w:t>
      </w:r>
    </w:p>
    <w:p w:rsidR="00A1602B" w:rsidRPr="008F3C52" w:rsidRDefault="00A1602B" w:rsidP="00A1602B">
      <w:pPr>
        <w:contextualSpacing/>
        <w:jc w:val="right"/>
        <w:textAlignment w:val="baseline"/>
        <w:rPr>
          <w:b/>
          <w:bCs/>
          <w:lang w:val="uk-UA"/>
        </w:rPr>
      </w:pPr>
      <w:r w:rsidRPr="008F3C52">
        <w:rPr>
          <w:b/>
          <w:bCs/>
          <w:lang w:val="uk-UA"/>
        </w:rPr>
        <w:t>до тендерної документації</w:t>
      </w:r>
    </w:p>
    <w:p w:rsidR="00A1602B" w:rsidRPr="003E16FF" w:rsidRDefault="00A1602B" w:rsidP="00A1602B">
      <w:pPr>
        <w:contextualSpacing/>
        <w:jc w:val="center"/>
        <w:textAlignment w:val="baseline"/>
        <w:rPr>
          <w:b/>
          <w:bCs/>
          <w:sz w:val="16"/>
          <w:szCs w:val="16"/>
          <w:lang w:val="uk-UA"/>
        </w:rPr>
      </w:pPr>
    </w:p>
    <w:p w:rsidR="00A1602B" w:rsidRPr="008F3C52" w:rsidRDefault="00A1602B" w:rsidP="00A1602B">
      <w:pPr>
        <w:contextualSpacing/>
        <w:jc w:val="center"/>
        <w:textAlignment w:val="baseline"/>
        <w:rPr>
          <w:b/>
          <w:lang w:val="uk-UA"/>
        </w:rPr>
      </w:pPr>
      <w:r w:rsidRPr="008F3C52">
        <w:rPr>
          <w:b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A1602B" w:rsidRPr="003E16FF" w:rsidRDefault="00A1602B" w:rsidP="00A1602B">
      <w:pPr>
        <w:contextualSpacing/>
        <w:jc w:val="center"/>
        <w:textAlignment w:val="baseline"/>
        <w:rPr>
          <w:b/>
          <w:sz w:val="16"/>
          <w:szCs w:val="16"/>
          <w:u w:val="single"/>
          <w:lang w:val="uk-UA"/>
        </w:rPr>
      </w:pPr>
    </w:p>
    <w:p w:rsidR="00A1602B" w:rsidRPr="00A1602B" w:rsidRDefault="00A1602B" w:rsidP="00A1602B">
      <w:pPr>
        <w:contextualSpacing/>
        <w:jc w:val="center"/>
        <w:textAlignment w:val="baseline"/>
        <w:rPr>
          <w:lang w:val="uk-UA"/>
        </w:rPr>
      </w:pPr>
      <w:r w:rsidRPr="004605D2">
        <w:rPr>
          <w:b/>
          <w:lang w:val="uk-UA"/>
        </w:rPr>
        <w:t xml:space="preserve">Лікарські засоби різні: </w:t>
      </w:r>
      <w:r w:rsidRPr="00A1602B">
        <w:rPr>
          <w:lang w:val="uk-UA"/>
        </w:rPr>
        <w:t>Бупівакаїн (</w:t>
      </w:r>
      <w:r w:rsidRPr="00A87E45">
        <w:t>Bupivacaine</w:t>
      </w:r>
      <w:r w:rsidRPr="00A1602B">
        <w:rPr>
          <w:lang w:val="uk-UA"/>
        </w:rPr>
        <w:t>) розчин д/ін. 2.5 мг/мл по 200 мл №1 у пляш; Бупівакаїн (</w:t>
      </w:r>
      <w:r w:rsidRPr="00A87E45">
        <w:t>Bupivacaine</w:t>
      </w:r>
      <w:r w:rsidRPr="00A1602B">
        <w:rPr>
          <w:lang w:val="uk-UA"/>
        </w:rPr>
        <w:t xml:space="preserve">) розчин  5 мг/мл по  №5 в упаковці; </w:t>
      </w:r>
      <w:r w:rsidRPr="00A1602B">
        <w:rPr>
          <w:rFonts w:eastAsia="Times New Roman"/>
          <w:lang w:val="uk-UA"/>
        </w:rPr>
        <w:t>Магнію сульфат 250мг/мл по 5мл №10 в амп. (</w:t>
      </w:r>
      <w:r w:rsidRPr="00A87E45">
        <w:rPr>
          <w:rFonts w:eastAsia="Times New Roman"/>
        </w:rPr>
        <w:t>Magnesium</w:t>
      </w:r>
      <w:r w:rsidRPr="00A1602B">
        <w:rPr>
          <w:rFonts w:eastAsia="Times New Roman"/>
          <w:lang w:val="uk-UA"/>
        </w:rPr>
        <w:t xml:space="preserve"> </w:t>
      </w:r>
      <w:r w:rsidRPr="00A87E45">
        <w:rPr>
          <w:rFonts w:eastAsia="Times New Roman"/>
        </w:rPr>
        <w:t>sulfate</w:t>
      </w:r>
      <w:r w:rsidRPr="00A1602B">
        <w:rPr>
          <w:rFonts w:eastAsia="Times New Roman"/>
          <w:lang w:val="uk-UA"/>
        </w:rPr>
        <w:t xml:space="preserve">); </w:t>
      </w:r>
      <w:r w:rsidRPr="00A1602B">
        <w:rPr>
          <w:lang w:val="uk-UA"/>
        </w:rPr>
        <w:t>Парацетамол (</w:t>
      </w:r>
      <w:r w:rsidRPr="00A87E45">
        <w:t>Paracetamol</w:t>
      </w:r>
      <w:r w:rsidRPr="00A1602B">
        <w:rPr>
          <w:lang w:val="uk-UA"/>
        </w:rPr>
        <w:t xml:space="preserve">) розчин д/інф. 10 мг/мл по 100 мл у пляш.; </w:t>
      </w:r>
      <w:r w:rsidRPr="00A1602B">
        <w:rPr>
          <w:rFonts w:eastAsia="Times New Roman"/>
          <w:lang w:val="uk-UA"/>
        </w:rPr>
        <w:t>Парацетамол 10 мг/мл  20 мл  (</w:t>
      </w:r>
      <w:r w:rsidRPr="00A87E45">
        <w:rPr>
          <w:rFonts w:eastAsia="Times New Roman"/>
        </w:rPr>
        <w:t>Paracetamol</w:t>
      </w:r>
      <w:r w:rsidRPr="00A1602B">
        <w:rPr>
          <w:rFonts w:eastAsia="Times New Roman"/>
          <w:lang w:val="uk-UA"/>
        </w:rPr>
        <w:t xml:space="preserve">) розчин для інфузій; </w:t>
      </w:r>
      <w:r w:rsidRPr="00A1602B">
        <w:rPr>
          <w:lang w:val="uk-UA"/>
        </w:rPr>
        <w:t>Транексамова кислота (</w:t>
      </w:r>
      <w:r w:rsidRPr="00A87E45">
        <w:t>Tranexamic</w:t>
      </w:r>
      <w:r w:rsidRPr="00A1602B">
        <w:rPr>
          <w:lang w:val="uk-UA"/>
        </w:rPr>
        <w:t xml:space="preserve"> </w:t>
      </w:r>
      <w:r w:rsidRPr="00A87E45">
        <w:t>acid</w:t>
      </w:r>
      <w:r w:rsidRPr="00A1602B">
        <w:rPr>
          <w:lang w:val="uk-UA"/>
        </w:rPr>
        <w:t>)  розчин д/ін. 100 мг/мл по 5 мл №5 в амп.; Флуконазол (</w:t>
      </w:r>
      <w:r w:rsidRPr="00A87E45">
        <w:t>Fluconazole</w:t>
      </w:r>
      <w:r w:rsidRPr="00A1602B">
        <w:rPr>
          <w:lang w:val="uk-UA"/>
        </w:rPr>
        <w:t>) ін’єкції: 2 мг/мл у флаконі по 100 мл; Метамізол натрію (</w:t>
      </w:r>
      <w:r w:rsidRPr="00A87E45">
        <w:t>Metamizole</w:t>
      </w:r>
      <w:r w:rsidRPr="00A1602B">
        <w:rPr>
          <w:lang w:val="uk-UA"/>
        </w:rPr>
        <w:t xml:space="preserve"> </w:t>
      </w:r>
      <w:r w:rsidRPr="00A87E45">
        <w:t>sodium</w:t>
      </w:r>
      <w:r w:rsidRPr="00A1602B">
        <w:rPr>
          <w:lang w:val="uk-UA"/>
        </w:rPr>
        <w:t>)  2мл №10; Цефепім (</w:t>
      </w:r>
      <w:r w:rsidRPr="00A87E45">
        <w:t>Cefepime</w:t>
      </w:r>
      <w:r w:rsidRPr="00A1602B">
        <w:rPr>
          <w:lang w:val="uk-UA"/>
        </w:rPr>
        <w:t>) порошок для р-ну д/ін. по 1000 мг №1 у флак.; Лінезолід (</w:t>
      </w:r>
      <w:r w:rsidRPr="00A87E45">
        <w:t>Linezolid</w:t>
      </w:r>
      <w:r w:rsidRPr="00A1602B">
        <w:rPr>
          <w:lang w:val="uk-UA"/>
        </w:rPr>
        <w:t>) розчин д/інф. 2</w:t>
      </w:r>
      <w:r w:rsidR="00936853">
        <w:rPr>
          <w:lang w:val="uk-UA"/>
        </w:rPr>
        <w:t xml:space="preserve"> мг/мл по 300 мл у конт. полім</w:t>
      </w:r>
      <w:r w:rsidRPr="00A1602B">
        <w:rPr>
          <w:lang w:val="uk-UA"/>
        </w:rPr>
        <w:t>.</w:t>
      </w:r>
    </w:p>
    <w:p w:rsidR="00A1602B" w:rsidRPr="003F711A" w:rsidRDefault="00A1602B" w:rsidP="00A1602B">
      <w:pPr>
        <w:contextualSpacing/>
        <w:jc w:val="center"/>
        <w:textAlignment w:val="baseline"/>
        <w:rPr>
          <w:b/>
          <w:sz w:val="16"/>
          <w:szCs w:val="16"/>
          <w:u w:val="single"/>
          <w:lang w:val="uk-UA"/>
        </w:rPr>
      </w:pPr>
    </w:p>
    <w:p w:rsidR="00A1602B" w:rsidRPr="009D385C" w:rsidRDefault="00A1602B" w:rsidP="00A1602B">
      <w:pPr>
        <w:contextualSpacing/>
        <w:jc w:val="center"/>
        <w:rPr>
          <w:rFonts w:eastAsia="Times New Roman"/>
          <w:color w:val="000000"/>
          <w:lang w:val="uk-UA"/>
        </w:rPr>
      </w:pPr>
      <w:r w:rsidRPr="009D385C">
        <w:rPr>
          <w:rFonts w:eastAsia="Times New Roman"/>
          <w:bCs/>
          <w:i/>
          <w:iCs/>
          <w:color w:val="000000"/>
          <w:lang w:val="uk-UA"/>
        </w:rPr>
        <w:t>(показник національного класифікатора України ДК 021:2015 “Єдиний закупівельний словник” – ДК 021:2015</w:t>
      </w:r>
      <w:r w:rsidRPr="009D385C">
        <w:rPr>
          <w:rFonts w:eastAsia="Times New Roman"/>
          <w:i/>
          <w:color w:val="000000"/>
          <w:lang w:val="uk-UA"/>
        </w:rPr>
        <w:t xml:space="preserve">: </w:t>
      </w:r>
      <w:r w:rsidRPr="009D385C">
        <w:rPr>
          <w:iCs/>
          <w:bdr w:val="none" w:sz="0" w:space="0" w:color="auto" w:frame="1"/>
          <w:shd w:val="clear" w:color="auto" w:fill="FDFEFD"/>
        </w:rPr>
        <w:t>33600000-6</w:t>
      </w:r>
      <w:r w:rsidRPr="009D385C">
        <w:rPr>
          <w:iCs/>
          <w:color w:val="777777"/>
          <w:shd w:val="clear" w:color="auto" w:fill="FDFEFD"/>
        </w:rPr>
        <w:t> - </w:t>
      </w:r>
      <w:r w:rsidRPr="009D385C">
        <w:t>Фармацевтична продукція</w:t>
      </w:r>
      <w:r w:rsidRPr="009D385C">
        <w:rPr>
          <w:rFonts w:eastAsia="Times New Roman"/>
          <w:i/>
          <w:color w:val="000000"/>
          <w:lang w:val="uk-UA"/>
        </w:rPr>
        <w:t>)</w:t>
      </w:r>
    </w:p>
    <w:p w:rsidR="00C15E3F" w:rsidRPr="00AF23F4" w:rsidRDefault="00C15E3F" w:rsidP="007873BB">
      <w:pPr>
        <w:contextualSpacing/>
        <w:rPr>
          <w:rFonts w:eastAsia="Times New Roman"/>
          <w:b/>
          <w:color w:val="000000"/>
          <w:lang w:val="uk-UA"/>
        </w:rPr>
      </w:pPr>
    </w:p>
    <w:p w:rsidR="007D26D0" w:rsidRPr="00AF23F4" w:rsidRDefault="007D26D0" w:rsidP="007873BB">
      <w:pPr>
        <w:contextualSpacing/>
        <w:jc w:val="center"/>
        <w:rPr>
          <w:rFonts w:eastAsia="Times New Roman"/>
          <w:b/>
          <w:color w:val="000000"/>
          <w:lang w:val="uk-UA"/>
        </w:rPr>
      </w:pPr>
      <w:r w:rsidRPr="00AF23F4">
        <w:rPr>
          <w:b/>
          <w:lang w:val="uk-UA"/>
        </w:rPr>
        <w:t>Загальні вимоги до предмета закупівлі</w:t>
      </w:r>
    </w:p>
    <w:p w:rsidR="00C6238B" w:rsidRPr="00AF23F4" w:rsidRDefault="00C6238B" w:rsidP="007873BB">
      <w:pPr>
        <w:contextualSpacing/>
        <w:rPr>
          <w:rFonts w:eastAsia="Times New Roman"/>
          <w:b/>
          <w:color w:val="000000"/>
          <w:lang w:val="uk-UA"/>
        </w:rPr>
      </w:pPr>
    </w:p>
    <w:p w:rsidR="007D26D0" w:rsidRPr="00AF23F4" w:rsidRDefault="007D26D0" w:rsidP="007873BB">
      <w:pPr>
        <w:autoSpaceDE w:val="0"/>
        <w:autoSpaceDN w:val="0"/>
        <w:adjustRightInd w:val="0"/>
        <w:ind w:firstLine="709"/>
        <w:contextualSpacing/>
        <w:jc w:val="both"/>
        <w:rPr>
          <w:lang w:val="uk-UA"/>
        </w:rPr>
      </w:pPr>
      <w:r w:rsidRPr="00AF23F4">
        <w:rPr>
          <w:lang w:val="uk-UA"/>
        </w:rPr>
        <w:t>Вартість пропозиції повинна включати витрати на страхування, пакування, навантаження, транспортування до місця призначення, відвантаження, сплату всіх податків і загальнообов’язкових платежів тощо.</w:t>
      </w:r>
    </w:p>
    <w:p w:rsidR="000C76A6" w:rsidRPr="00AF23F4" w:rsidRDefault="000C76A6" w:rsidP="007873BB">
      <w:pPr>
        <w:ind w:firstLine="708"/>
        <w:contextualSpacing/>
        <w:jc w:val="both"/>
        <w:rPr>
          <w:rFonts w:eastAsia="Times New Roman"/>
          <w:lang w:val="uk-UA"/>
        </w:rPr>
      </w:pPr>
      <w:r w:rsidRPr="00AF23F4">
        <w:rPr>
          <w:rFonts w:eastAsia="Times New Roman"/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:rsidR="000C76A6" w:rsidRPr="00AF23F4" w:rsidRDefault="000C76A6" w:rsidP="007873BB">
      <w:pPr>
        <w:ind w:firstLine="708"/>
        <w:contextualSpacing/>
        <w:jc w:val="both"/>
        <w:rPr>
          <w:rFonts w:eastAsia="Times New Roman"/>
          <w:lang w:val="uk-UA"/>
        </w:rPr>
      </w:pPr>
      <w:r w:rsidRPr="00AF23F4">
        <w:rPr>
          <w:rFonts w:eastAsia="Times New Roman"/>
          <w:lang w:val="uk-UA"/>
        </w:rPr>
        <w:t>1) Довідка в довільній формі про наявність сертифікатів якості та реєстраційних посвідчень на товар</w:t>
      </w:r>
      <w:r w:rsidR="00AD039A">
        <w:rPr>
          <w:rFonts w:eastAsia="Times New Roman"/>
          <w:lang w:val="uk-UA"/>
        </w:rPr>
        <w:t>,</w:t>
      </w:r>
      <w:r w:rsidRPr="00AF23F4">
        <w:rPr>
          <w:rFonts w:eastAsia="Times New Roman"/>
          <w:lang w:val="uk-UA"/>
        </w:rPr>
        <w:t xml:space="preserve"> що пропонується згідно МТВ та надання сертифікатів якості при поставці товару.</w:t>
      </w:r>
    </w:p>
    <w:p w:rsidR="000C76A6" w:rsidRPr="00AF23F4" w:rsidRDefault="000C76A6" w:rsidP="007873BB">
      <w:pPr>
        <w:ind w:firstLine="708"/>
        <w:contextualSpacing/>
        <w:jc w:val="both"/>
        <w:rPr>
          <w:rFonts w:eastAsia="Times New Roman"/>
        </w:rPr>
      </w:pPr>
      <w:r w:rsidRPr="00AF23F4">
        <w:rPr>
          <w:rFonts w:eastAsia="Times New Roman"/>
        </w:rPr>
        <w:t xml:space="preserve">2) </w:t>
      </w:r>
      <w:r w:rsidRPr="00AF23F4">
        <w:rPr>
          <w:rFonts w:eastAsia="Times New Roman"/>
          <w:color w:val="000000"/>
        </w:rPr>
        <w:t>Довідка в довільній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формі про гарантії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належного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терміну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придатності на товари</w:t>
      </w:r>
      <w:r w:rsidRPr="00AF23F4">
        <w:rPr>
          <w:rFonts w:eastAsia="Times New Roman"/>
          <w:color w:val="000000"/>
          <w:lang w:val="uk-UA"/>
        </w:rPr>
        <w:t>,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т</w:t>
      </w:r>
      <w:r w:rsidRPr="00AF23F4">
        <w:rPr>
          <w:rFonts w:eastAsia="Times New Roman"/>
        </w:rPr>
        <w:t>ермін</w:t>
      </w:r>
      <w:r w:rsidR="00AD039A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придатності товару на момент поставки має</w:t>
      </w:r>
      <w:r w:rsidR="00AD039A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становити не менше 80 % від</w:t>
      </w:r>
      <w:r w:rsidR="00AD039A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встановленого</w:t>
      </w:r>
      <w:r w:rsidR="00AD039A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інструкцією</w:t>
      </w:r>
      <w:r w:rsidR="00AD039A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терміну</w:t>
      </w:r>
      <w:r w:rsidR="00AD039A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придатності</w:t>
      </w:r>
    </w:p>
    <w:p w:rsidR="000C76A6" w:rsidRPr="00AF23F4" w:rsidRDefault="000C76A6" w:rsidP="007873BB">
      <w:pPr>
        <w:ind w:firstLine="708"/>
        <w:contextualSpacing/>
        <w:jc w:val="both"/>
        <w:rPr>
          <w:rFonts w:eastAsia="Times New Roman"/>
          <w:color w:val="000000"/>
        </w:rPr>
      </w:pPr>
      <w:r w:rsidRPr="00AF23F4">
        <w:rPr>
          <w:rFonts w:eastAsia="Times New Roman"/>
        </w:rPr>
        <w:t>3) К</w:t>
      </w:r>
      <w:r w:rsidRPr="00AF23F4">
        <w:rPr>
          <w:rFonts w:eastAsia="Times New Roman"/>
          <w:color w:val="000000"/>
        </w:rPr>
        <w:t>опія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ліцензії на відповідний вид діяльності (у разі, якщо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це не передбачено</w:t>
      </w:r>
      <w:r w:rsidR="00AD039A">
        <w:rPr>
          <w:rFonts w:eastAsia="Times New Roman"/>
          <w:color w:val="000000"/>
          <w:lang w:val="uk-UA"/>
        </w:rPr>
        <w:t xml:space="preserve"> </w:t>
      </w:r>
      <w:r w:rsidR="00AD039A">
        <w:rPr>
          <w:rFonts w:eastAsia="Times New Roman"/>
          <w:color w:val="000000"/>
        </w:rPr>
        <w:t>чиним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законодавством лист-пояснення про ненадання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відповідного</w:t>
      </w:r>
      <w:r w:rsidR="00AD039A">
        <w:rPr>
          <w:rFonts w:eastAsia="Times New Roman"/>
          <w:color w:val="000000"/>
          <w:lang w:val="uk-UA"/>
        </w:rPr>
        <w:t xml:space="preserve"> документа</w:t>
      </w:r>
      <w:r w:rsidRPr="00AF23F4">
        <w:rPr>
          <w:rFonts w:eastAsia="Times New Roman"/>
          <w:color w:val="000000"/>
        </w:rPr>
        <w:t xml:space="preserve"> </w:t>
      </w:r>
      <w:r w:rsidR="00AD039A">
        <w:rPr>
          <w:rFonts w:eastAsia="Times New Roman"/>
          <w:color w:val="000000"/>
          <w:lang w:val="uk-UA"/>
        </w:rPr>
        <w:t>і</w:t>
      </w:r>
      <w:r w:rsidRPr="00AF23F4">
        <w:rPr>
          <w:rFonts w:eastAsia="Times New Roman"/>
          <w:color w:val="000000"/>
        </w:rPr>
        <w:t>з зазначенням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законодавчих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підстав);</w:t>
      </w:r>
    </w:p>
    <w:p w:rsidR="000C76A6" w:rsidRPr="00AF23F4" w:rsidRDefault="000C76A6" w:rsidP="007873BB">
      <w:pPr>
        <w:ind w:firstLine="708"/>
        <w:contextualSpacing/>
        <w:jc w:val="both"/>
        <w:rPr>
          <w:rFonts w:eastAsia="Times New Roman"/>
          <w:color w:val="000000"/>
        </w:rPr>
      </w:pPr>
      <w:r w:rsidRPr="00AF23F4">
        <w:rPr>
          <w:rFonts w:eastAsia="Times New Roman"/>
          <w:color w:val="000000"/>
        </w:rPr>
        <w:t>4) Спроможність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учасника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поставити товар повинна підтверджуватись документами про якість (сертифікат</w:t>
      </w:r>
      <w:r w:rsidR="00AB4F32">
        <w:rPr>
          <w:rFonts w:eastAsia="Times New Roman"/>
          <w:color w:val="000000"/>
          <w:lang w:val="uk-UA"/>
        </w:rPr>
        <w:t xml:space="preserve"> </w:t>
      </w:r>
      <w:r w:rsidR="00AB4F32">
        <w:rPr>
          <w:rFonts w:eastAsia="Times New Roman"/>
          <w:color w:val="000000"/>
        </w:rPr>
        <w:t>відповідності</w:t>
      </w:r>
      <w:r w:rsidR="00AB4F32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або</w:t>
      </w:r>
      <w:r w:rsidR="00AB4F32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декларацію про відповідність, або</w:t>
      </w:r>
      <w:r w:rsidR="00AB4F32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сертифікат контролю якості, /або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аналітичний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паспорт,  /або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посвідчення про якість</w:t>
      </w:r>
      <w:r w:rsidR="0057504F">
        <w:rPr>
          <w:rFonts w:eastAsia="Times New Roman"/>
          <w:color w:val="000000"/>
          <w:lang w:val="uk-UA"/>
        </w:rPr>
        <w:t xml:space="preserve">, </w:t>
      </w:r>
      <w:r w:rsidRPr="00AF23F4">
        <w:rPr>
          <w:rFonts w:eastAsia="Times New Roman"/>
          <w:color w:val="000000"/>
        </w:rPr>
        <w:t>або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інші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документи, встановлені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діючим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законодавством для зазначеного товару (на вибір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учасника). Якщо будь-який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із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документів не може бути наданий з причин його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втрати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чинності /або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зміни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форми, назви, тощо /або не передбачений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законодавством для такого товару, Учасник</w:t>
      </w:r>
      <w:r w:rsidR="003624B1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надає</w:t>
      </w:r>
      <w:r w:rsidR="003624B1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інший</w:t>
      </w:r>
      <w:r w:rsidR="003624B1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рівнозначний документ або</w:t>
      </w:r>
      <w:r w:rsidR="003624B1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письмове</w:t>
      </w:r>
      <w:r w:rsidR="003624B1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пояснення.</w:t>
      </w:r>
    </w:p>
    <w:p w:rsidR="000C76A6" w:rsidRPr="00AF23F4" w:rsidRDefault="000C76A6" w:rsidP="007873BB">
      <w:pPr>
        <w:ind w:firstLine="708"/>
        <w:contextualSpacing/>
        <w:jc w:val="both"/>
        <w:rPr>
          <w:rFonts w:eastAsia="Times New Roman"/>
        </w:rPr>
      </w:pPr>
      <w:r w:rsidRPr="00AF23F4">
        <w:rPr>
          <w:rFonts w:eastAsia="Times New Roman"/>
        </w:rPr>
        <w:t>5) В разі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подачі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еквіваленту товару, що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запропонований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 xml:space="preserve">Замовником в медико </w:t>
      </w:r>
      <w:r w:rsidR="003624B1">
        <w:rPr>
          <w:rFonts w:eastAsia="Times New Roman"/>
        </w:rPr>
        <w:t>–</w:t>
      </w:r>
      <w:r w:rsidRPr="00AF23F4">
        <w:rPr>
          <w:rFonts w:eastAsia="Times New Roman"/>
        </w:rPr>
        <w:t xml:space="preserve"> технічних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вимогах, учасник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подає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порівняльну характеристику запропонованого ним товару та товару, що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визначена в МТВ з відомостями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щодо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відповідності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вимогам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Замовника.</w:t>
      </w:r>
    </w:p>
    <w:p w:rsidR="000C76A6" w:rsidRPr="00AF23F4" w:rsidRDefault="000C76A6" w:rsidP="007873BB">
      <w:pPr>
        <w:ind w:firstLine="708"/>
        <w:contextualSpacing/>
        <w:jc w:val="both"/>
        <w:rPr>
          <w:rFonts w:eastAsia="Times New Roman"/>
        </w:rPr>
      </w:pPr>
      <w:r w:rsidRPr="00AF23F4">
        <w:rPr>
          <w:rFonts w:eastAsia="Times New Roman"/>
        </w:rPr>
        <w:t>6) Форма випуску, дозування</w:t>
      </w:r>
      <w:r w:rsidR="009E7819" w:rsidRPr="00AF23F4">
        <w:rPr>
          <w:rFonts w:eastAsia="Times New Roman"/>
          <w:lang w:val="uk-UA"/>
        </w:rPr>
        <w:t>, діючі та допоміжні речовини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препаратів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повинні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відповідати таким, що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вказані в документації.</w:t>
      </w:r>
    </w:p>
    <w:p w:rsidR="00C6238B" w:rsidRPr="008113A8" w:rsidRDefault="000C76A6" w:rsidP="007873BB">
      <w:pPr>
        <w:ind w:firstLine="708"/>
        <w:contextualSpacing/>
        <w:jc w:val="both"/>
        <w:rPr>
          <w:rFonts w:eastAsia="Times New Roman"/>
          <w:lang w:val="uk-UA"/>
        </w:rPr>
      </w:pPr>
      <w:r w:rsidRPr="00AF23F4">
        <w:rPr>
          <w:rFonts w:eastAsia="Times New Roman"/>
        </w:rPr>
        <w:t>7) З метою запобігання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закупівлі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фальсифікатів та отримання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гарантій на своєчасне</w:t>
      </w:r>
      <w:r w:rsidR="003624B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постачання товару у кількості, якості та з термінами</w:t>
      </w:r>
      <w:r w:rsidR="0073529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придатності, яких</w:t>
      </w:r>
      <w:r w:rsidR="0073529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вимагає</w:t>
      </w:r>
      <w:r w:rsidR="0073529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замовник</w:t>
      </w:r>
      <w:r w:rsidR="0073529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учасник</w:t>
      </w:r>
      <w:r w:rsidR="0073529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надає</w:t>
      </w:r>
      <w:r w:rsidR="0073529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гарантійний лист виробника</w:t>
      </w:r>
      <w:r w:rsidR="0073529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або</w:t>
      </w:r>
      <w:r w:rsidR="0073529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представництва, представника, дилера, дистриб'ютора (уповноваженого на це</w:t>
      </w:r>
      <w:r w:rsidR="0073529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виробником, якщо</w:t>
      </w:r>
      <w:r w:rsidR="0073529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їх</w:t>
      </w:r>
      <w:r w:rsidR="0073529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відповідні</w:t>
      </w:r>
      <w:r w:rsidR="0073529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повноваження</w:t>
      </w:r>
      <w:r w:rsidR="00735291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поширюються на територію</w:t>
      </w:r>
      <w:r w:rsidR="008113A8">
        <w:rPr>
          <w:rFonts w:eastAsia="Times New Roman"/>
          <w:lang w:val="uk-UA"/>
        </w:rPr>
        <w:t xml:space="preserve"> </w:t>
      </w:r>
      <w:r w:rsidRPr="008113A8">
        <w:rPr>
          <w:rFonts w:eastAsia="Times New Roman"/>
          <w:lang w:val="uk-UA"/>
        </w:rPr>
        <w:t>України), яким</w:t>
      </w:r>
      <w:r w:rsidR="00735291">
        <w:rPr>
          <w:rFonts w:eastAsia="Times New Roman"/>
          <w:lang w:val="uk-UA"/>
        </w:rPr>
        <w:t xml:space="preserve"> </w:t>
      </w:r>
      <w:r w:rsidRPr="008113A8">
        <w:rPr>
          <w:rFonts w:eastAsia="Times New Roman"/>
          <w:lang w:val="uk-UA"/>
        </w:rPr>
        <w:t>підтверджується</w:t>
      </w:r>
      <w:r w:rsidR="00735291">
        <w:rPr>
          <w:rFonts w:eastAsia="Times New Roman"/>
          <w:lang w:val="uk-UA"/>
        </w:rPr>
        <w:t xml:space="preserve"> </w:t>
      </w:r>
      <w:r w:rsidRPr="008113A8">
        <w:rPr>
          <w:rFonts w:eastAsia="Times New Roman"/>
          <w:lang w:val="uk-UA"/>
        </w:rPr>
        <w:t>можливість поставки запропонованого товару, який є предметом закупівлі</w:t>
      </w:r>
      <w:r w:rsidR="00735291">
        <w:rPr>
          <w:rFonts w:eastAsia="Times New Roman"/>
          <w:lang w:val="uk-UA"/>
        </w:rPr>
        <w:t xml:space="preserve"> </w:t>
      </w:r>
      <w:r w:rsidRPr="008113A8">
        <w:rPr>
          <w:rFonts w:eastAsia="Times New Roman"/>
          <w:lang w:val="uk-UA"/>
        </w:rPr>
        <w:t>цих</w:t>
      </w:r>
      <w:r w:rsidR="00735291">
        <w:rPr>
          <w:rFonts w:eastAsia="Times New Roman"/>
          <w:lang w:val="uk-UA"/>
        </w:rPr>
        <w:t xml:space="preserve"> </w:t>
      </w:r>
      <w:r w:rsidRPr="008113A8">
        <w:rPr>
          <w:rFonts w:eastAsia="Times New Roman"/>
          <w:lang w:val="uk-UA"/>
        </w:rPr>
        <w:t>торгів та пропонується</w:t>
      </w:r>
      <w:r w:rsidR="00735291">
        <w:rPr>
          <w:rFonts w:eastAsia="Times New Roman"/>
          <w:lang w:val="uk-UA"/>
        </w:rPr>
        <w:t xml:space="preserve"> </w:t>
      </w:r>
      <w:r w:rsidRPr="008113A8">
        <w:rPr>
          <w:rFonts w:eastAsia="Times New Roman"/>
          <w:lang w:val="uk-UA"/>
        </w:rPr>
        <w:t>учасником</w:t>
      </w:r>
      <w:r w:rsidR="00735291">
        <w:rPr>
          <w:rFonts w:eastAsia="Times New Roman"/>
          <w:lang w:val="uk-UA"/>
        </w:rPr>
        <w:t xml:space="preserve"> </w:t>
      </w:r>
      <w:r w:rsidRPr="008113A8">
        <w:rPr>
          <w:rFonts w:eastAsia="Times New Roman"/>
          <w:lang w:val="uk-UA"/>
        </w:rPr>
        <w:t>із</w:t>
      </w:r>
      <w:r w:rsidR="00735291">
        <w:rPr>
          <w:rFonts w:eastAsia="Times New Roman"/>
          <w:lang w:val="uk-UA"/>
        </w:rPr>
        <w:t xml:space="preserve"> </w:t>
      </w:r>
      <w:r w:rsidRPr="008113A8">
        <w:rPr>
          <w:rFonts w:eastAsia="Times New Roman"/>
          <w:lang w:val="uk-UA"/>
        </w:rPr>
        <w:t>зазначенням: повної</w:t>
      </w:r>
      <w:r w:rsidR="00735291">
        <w:rPr>
          <w:rFonts w:eastAsia="Times New Roman"/>
          <w:lang w:val="uk-UA"/>
        </w:rPr>
        <w:t xml:space="preserve"> </w:t>
      </w:r>
      <w:r w:rsidRPr="008113A8">
        <w:rPr>
          <w:rFonts w:eastAsia="Times New Roman"/>
          <w:lang w:val="uk-UA"/>
        </w:rPr>
        <w:t>назви</w:t>
      </w:r>
      <w:r w:rsidR="00735291">
        <w:rPr>
          <w:rFonts w:eastAsia="Times New Roman"/>
          <w:lang w:val="uk-UA"/>
        </w:rPr>
        <w:t xml:space="preserve"> </w:t>
      </w:r>
      <w:r w:rsidRPr="008113A8">
        <w:rPr>
          <w:rFonts w:eastAsia="Times New Roman"/>
          <w:lang w:val="uk-UA"/>
        </w:rPr>
        <w:t>учасника, повної</w:t>
      </w:r>
      <w:r w:rsidR="00735291">
        <w:rPr>
          <w:rFonts w:eastAsia="Times New Roman"/>
          <w:lang w:val="uk-UA"/>
        </w:rPr>
        <w:t xml:space="preserve"> </w:t>
      </w:r>
      <w:r w:rsidRPr="008113A8">
        <w:rPr>
          <w:rFonts w:eastAsia="Times New Roman"/>
          <w:lang w:val="uk-UA"/>
        </w:rPr>
        <w:t>назви</w:t>
      </w:r>
      <w:r w:rsidR="00735291">
        <w:rPr>
          <w:rFonts w:eastAsia="Times New Roman"/>
          <w:lang w:val="uk-UA"/>
        </w:rPr>
        <w:t xml:space="preserve"> </w:t>
      </w:r>
      <w:r w:rsidRPr="008113A8">
        <w:rPr>
          <w:rFonts w:eastAsia="Times New Roman"/>
          <w:lang w:val="uk-UA"/>
        </w:rPr>
        <w:t>Замовника, назви предмету закупівлі</w:t>
      </w:r>
      <w:r w:rsidR="00735291">
        <w:rPr>
          <w:rFonts w:eastAsia="Times New Roman"/>
          <w:lang w:val="uk-UA"/>
        </w:rPr>
        <w:t xml:space="preserve"> </w:t>
      </w:r>
      <w:r w:rsidRPr="008113A8">
        <w:rPr>
          <w:rFonts w:eastAsia="Times New Roman"/>
          <w:lang w:val="uk-UA"/>
        </w:rPr>
        <w:t>згідно</w:t>
      </w:r>
      <w:r w:rsidR="00735291">
        <w:rPr>
          <w:rFonts w:eastAsia="Times New Roman"/>
          <w:lang w:val="uk-UA"/>
        </w:rPr>
        <w:t xml:space="preserve"> </w:t>
      </w:r>
      <w:r w:rsidRPr="008113A8">
        <w:rPr>
          <w:rFonts w:eastAsia="Times New Roman"/>
          <w:lang w:val="uk-UA"/>
        </w:rPr>
        <w:t>оголошення, № оголошення про проведення</w:t>
      </w:r>
      <w:r w:rsidR="00735291">
        <w:rPr>
          <w:rFonts w:eastAsia="Times New Roman"/>
          <w:lang w:val="uk-UA"/>
        </w:rPr>
        <w:t xml:space="preserve"> </w:t>
      </w:r>
      <w:r w:rsidRPr="008113A8">
        <w:rPr>
          <w:rFonts w:eastAsia="Times New Roman"/>
          <w:lang w:val="uk-UA"/>
        </w:rPr>
        <w:t>процедури</w:t>
      </w:r>
      <w:r w:rsidR="00735291">
        <w:rPr>
          <w:rFonts w:eastAsia="Times New Roman"/>
          <w:lang w:val="uk-UA"/>
        </w:rPr>
        <w:t xml:space="preserve"> </w:t>
      </w:r>
      <w:r w:rsidRPr="008113A8">
        <w:rPr>
          <w:rFonts w:eastAsia="Times New Roman"/>
          <w:lang w:val="uk-UA"/>
        </w:rPr>
        <w:t>закупівлі.</w:t>
      </w:r>
    </w:p>
    <w:p w:rsidR="000C76A6" w:rsidRPr="00B261D1" w:rsidRDefault="00C6238B" w:rsidP="007873BB">
      <w:pPr>
        <w:pStyle w:val="11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AF23F4">
        <w:rPr>
          <w:rFonts w:ascii="Times New Roman" w:hAnsi="Times New Roman"/>
          <w:color w:val="000000"/>
          <w:szCs w:val="24"/>
          <w:lang w:val="uk-UA" w:eastAsia="uk-UA"/>
        </w:rPr>
        <w:t>Лікарський засіб повинен бути зареєстрований та дозволений до застосування в Україні. Для підтвердження Учасник у складі тендерної пропозиції повинен надати документ</w:t>
      </w:r>
      <w:r w:rsidR="00B261D1">
        <w:rPr>
          <w:rFonts w:ascii="Times New Roman" w:hAnsi="Times New Roman"/>
          <w:color w:val="000000"/>
          <w:szCs w:val="24"/>
          <w:lang w:val="uk-UA" w:eastAsia="uk-UA"/>
        </w:rPr>
        <w:t xml:space="preserve"> </w:t>
      </w:r>
      <w:r w:rsidRPr="00AF23F4">
        <w:rPr>
          <w:rFonts w:ascii="Times New Roman" w:hAnsi="Times New Roman"/>
          <w:color w:val="000000"/>
          <w:szCs w:val="24"/>
          <w:lang w:val="uk-UA" w:eastAsia="uk-UA"/>
        </w:rPr>
        <w:t xml:space="preserve">у довільній </w:t>
      </w:r>
      <w:r w:rsidRPr="00AF23F4">
        <w:rPr>
          <w:rFonts w:ascii="Times New Roman" w:hAnsi="Times New Roman"/>
          <w:color w:val="000000"/>
          <w:szCs w:val="24"/>
          <w:lang w:val="uk-UA" w:eastAsia="uk-UA"/>
        </w:rPr>
        <w:lastRenderedPageBreak/>
        <w:t>формі.</w:t>
      </w:r>
      <w:r w:rsidR="00B261D1">
        <w:rPr>
          <w:rFonts w:ascii="Times New Roman" w:hAnsi="Times New Roman"/>
          <w:color w:val="000000"/>
          <w:szCs w:val="24"/>
          <w:lang w:val="uk-UA" w:eastAsia="uk-UA"/>
        </w:rPr>
        <w:t xml:space="preserve"> </w:t>
      </w:r>
      <w:r w:rsidRPr="00B261D1">
        <w:rPr>
          <w:rFonts w:ascii="Times New Roman" w:hAnsi="Times New Roman"/>
          <w:color w:val="000000"/>
          <w:szCs w:val="24"/>
          <w:lang w:val="uk-UA" w:eastAsia="uk-UA"/>
        </w:rPr>
        <w:t>Лікарський</w:t>
      </w:r>
      <w:r w:rsidR="00B261D1">
        <w:rPr>
          <w:rFonts w:ascii="Times New Roman" w:hAnsi="Times New Roman"/>
          <w:color w:val="000000"/>
          <w:szCs w:val="24"/>
          <w:lang w:val="uk-UA" w:eastAsia="uk-UA"/>
        </w:rPr>
        <w:t xml:space="preserve"> </w:t>
      </w:r>
      <w:r w:rsidRPr="00B261D1">
        <w:rPr>
          <w:rFonts w:ascii="Times New Roman" w:hAnsi="Times New Roman"/>
          <w:color w:val="000000"/>
          <w:szCs w:val="24"/>
          <w:lang w:val="uk-UA" w:eastAsia="uk-UA"/>
        </w:rPr>
        <w:t>засіб повинен мати</w:t>
      </w:r>
      <w:r w:rsidR="00B261D1">
        <w:rPr>
          <w:rFonts w:ascii="Times New Roman" w:hAnsi="Times New Roman"/>
          <w:color w:val="000000"/>
          <w:szCs w:val="24"/>
          <w:lang w:val="uk-UA" w:eastAsia="uk-UA"/>
        </w:rPr>
        <w:t xml:space="preserve"> </w:t>
      </w:r>
      <w:r w:rsidRPr="00B261D1">
        <w:rPr>
          <w:rFonts w:ascii="Times New Roman" w:hAnsi="Times New Roman"/>
          <w:color w:val="000000"/>
          <w:szCs w:val="24"/>
          <w:lang w:val="uk-UA" w:eastAsia="uk-UA"/>
        </w:rPr>
        <w:t>інструкцію з застосування. Для підтвердження</w:t>
      </w:r>
      <w:r w:rsidR="00B261D1">
        <w:rPr>
          <w:rFonts w:ascii="Times New Roman" w:hAnsi="Times New Roman"/>
          <w:color w:val="000000"/>
          <w:szCs w:val="24"/>
          <w:lang w:val="uk-UA" w:eastAsia="uk-UA"/>
        </w:rPr>
        <w:t xml:space="preserve"> </w:t>
      </w:r>
      <w:r w:rsidRPr="00B261D1">
        <w:rPr>
          <w:rFonts w:ascii="Times New Roman" w:hAnsi="Times New Roman"/>
          <w:color w:val="000000"/>
          <w:szCs w:val="24"/>
          <w:lang w:val="uk-UA" w:eastAsia="uk-UA"/>
        </w:rPr>
        <w:t>Учасник повинен надати документ у довільній</w:t>
      </w:r>
      <w:r w:rsidR="00B261D1">
        <w:rPr>
          <w:rFonts w:ascii="Times New Roman" w:hAnsi="Times New Roman"/>
          <w:color w:val="000000"/>
          <w:szCs w:val="24"/>
          <w:lang w:val="uk-UA" w:eastAsia="uk-UA"/>
        </w:rPr>
        <w:t xml:space="preserve"> </w:t>
      </w:r>
      <w:r w:rsidRPr="00B261D1">
        <w:rPr>
          <w:rFonts w:ascii="Times New Roman" w:hAnsi="Times New Roman"/>
          <w:color w:val="000000"/>
          <w:szCs w:val="24"/>
          <w:lang w:val="uk-UA" w:eastAsia="uk-UA"/>
        </w:rPr>
        <w:t>формі, що</w:t>
      </w:r>
      <w:r w:rsidR="00B261D1">
        <w:rPr>
          <w:rFonts w:ascii="Times New Roman" w:hAnsi="Times New Roman"/>
          <w:color w:val="000000"/>
          <w:szCs w:val="24"/>
          <w:lang w:val="uk-UA" w:eastAsia="uk-UA"/>
        </w:rPr>
        <w:t xml:space="preserve"> </w:t>
      </w:r>
      <w:r w:rsidRPr="00B261D1">
        <w:rPr>
          <w:rFonts w:ascii="Times New Roman" w:hAnsi="Times New Roman"/>
          <w:color w:val="000000"/>
          <w:szCs w:val="24"/>
          <w:lang w:val="uk-UA" w:eastAsia="uk-UA"/>
        </w:rPr>
        <w:t>гарантує</w:t>
      </w:r>
      <w:r w:rsidR="00B261D1">
        <w:rPr>
          <w:rFonts w:ascii="Times New Roman" w:hAnsi="Times New Roman"/>
          <w:color w:val="000000"/>
          <w:szCs w:val="24"/>
          <w:lang w:val="uk-UA" w:eastAsia="uk-UA"/>
        </w:rPr>
        <w:t xml:space="preserve"> </w:t>
      </w:r>
      <w:r w:rsidRPr="00B261D1">
        <w:rPr>
          <w:rFonts w:ascii="Times New Roman" w:hAnsi="Times New Roman"/>
          <w:color w:val="000000"/>
          <w:szCs w:val="24"/>
          <w:lang w:val="uk-UA" w:eastAsia="uk-UA"/>
        </w:rPr>
        <w:t>наявність</w:t>
      </w:r>
      <w:r w:rsidR="00B261D1">
        <w:rPr>
          <w:rFonts w:ascii="Times New Roman" w:hAnsi="Times New Roman"/>
          <w:color w:val="000000"/>
          <w:szCs w:val="24"/>
          <w:lang w:val="uk-UA" w:eastAsia="uk-UA"/>
        </w:rPr>
        <w:t xml:space="preserve"> </w:t>
      </w:r>
      <w:r w:rsidRPr="00B261D1">
        <w:rPr>
          <w:rFonts w:ascii="Times New Roman" w:hAnsi="Times New Roman"/>
          <w:color w:val="000000"/>
          <w:szCs w:val="24"/>
          <w:lang w:val="uk-UA" w:eastAsia="uk-UA"/>
        </w:rPr>
        <w:t>інструкції на використання препарату українською</w:t>
      </w:r>
      <w:r w:rsidR="00B261D1">
        <w:rPr>
          <w:rFonts w:ascii="Times New Roman" w:hAnsi="Times New Roman"/>
          <w:color w:val="000000"/>
          <w:szCs w:val="24"/>
          <w:lang w:val="uk-UA" w:eastAsia="uk-UA"/>
        </w:rPr>
        <w:t xml:space="preserve"> </w:t>
      </w:r>
      <w:r w:rsidRPr="00B261D1">
        <w:rPr>
          <w:rFonts w:ascii="Times New Roman" w:hAnsi="Times New Roman"/>
          <w:color w:val="000000"/>
          <w:szCs w:val="24"/>
          <w:lang w:val="uk-UA" w:eastAsia="uk-UA"/>
        </w:rPr>
        <w:t>мовою при кожній</w:t>
      </w:r>
      <w:r w:rsidR="00B261D1">
        <w:rPr>
          <w:rFonts w:ascii="Times New Roman" w:hAnsi="Times New Roman"/>
          <w:color w:val="000000"/>
          <w:szCs w:val="24"/>
          <w:lang w:val="uk-UA" w:eastAsia="uk-UA"/>
        </w:rPr>
        <w:t xml:space="preserve"> </w:t>
      </w:r>
      <w:r w:rsidRPr="00B261D1">
        <w:rPr>
          <w:rFonts w:ascii="Times New Roman" w:hAnsi="Times New Roman"/>
          <w:color w:val="000000"/>
          <w:szCs w:val="24"/>
          <w:lang w:val="uk-UA" w:eastAsia="uk-UA"/>
        </w:rPr>
        <w:t>поставці товару.</w:t>
      </w:r>
    </w:p>
    <w:p w:rsidR="00C6238B" w:rsidRPr="00AF23F4" w:rsidRDefault="00C6238B" w:rsidP="007873BB">
      <w:pPr>
        <w:pStyle w:val="11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AF23F4">
        <w:rPr>
          <w:rFonts w:ascii="Times New Roman" w:hAnsi="Times New Roman"/>
          <w:lang w:eastAsia="uk-UA"/>
        </w:rPr>
        <w:t>Усі</w:t>
      </w:r>
      <w:r w:rsidR="00B261D1">
        <w:rPr>
          <w:rFonts w:ascii="Times New Roman" w:hAnsi="Times New Roman"/>
          <w:lang w:val="uk-UA" w:eastAsia="uk-UA"/>
        </w:rPr>
        <w:t xml:space="preserve"> </w:t>
      </w:r>
      <w:r w:rsidRPr="00AF23F4">
        <w:rPr>
          <w:rFonts w:ascii="Times New Roman" w:hAnsi="Times New Roman"/>
          <w:lang w:eastAsia="uk-UA"/>
        </w:rPr>
        <w:t>документи, що</w:t>
      </w:r>
      <w:r w:rsidR="00B261D1">
        <w:rPr>
          <w:rFonts w:ascii="Times New Roman" w:hAnsi="Times New Roman"/>
          <w:lang w:val="uk-UA" w:eastAsia="uk-UA"/>
        </w:rPr>
        <w:t xml:space="preserve"> </w:t>
      </w:r>
      <w:r w:rsidRPr="00AF23F4">
        <w:rPr>
          <w:rFonts w:ascii="Times New Roman" w:hAnsi="Times New Roman"/>
          <w:lang w:eastAsia="uk-UA"/>
        </w:rPr>
        <w:t>стосуються</w:t>
      </w:r>
      <w:r w:rsidR="00B261D1">
        <w:rPr>
          <w:rFonts w:ascii="Times New Roman" w:hAnsi="Times New Roman"/>
          <w:lang w:val="uk-UA" w:eastAsia="uk-UA"/>
        </w:rPr>
        <w:t xml:space="preserve"> </w:t>
      </w:r>
      <w:r w:rsidRPr="00AF23F4">
        <w:rPr>
          <w:rFonts w:ascii="Times New Roman" w:hAnsi="Times New Roman"/>
          <w:lang w:eastAsia="uk-UA"/>
        </w:rPr>
        <w:t>лікарського</w:t>
      </w:r>
      <w:r w:rsidR="00B261D1">
        <w:rPr>
          <w:rFonts w:ascii="Times New Roman" w:hAnsi="Times New Roman"/>
          <w:lang w:val="uk-UA" w:eastAsia="uk-UA"/>
        </w:rPr>
        <w:t xml:space="preserve"> </w:t>
      </w:r>
      <w:r w:rsidRPr="00AF23F4">
        <w:rPr>
          <w:rFonts w:ascii="Times New Roman" w:hAnsi="Times New Roman"/>
          <w:lang w:eastAsia="uk-UA"/>
        </w:rPr>
        <w:t>засобу, повинні бути викладені державною (українською) мовою (для документів, викладених</w:t>
      </w:r>
      <w:r w:rsidR="00B261D1">
        <w:rPr>
          <w:rFonts w:ascii="Times New Roman" w:hAnsi="Times New Roman"/>
          <w:lang w:val="uk-UA" w:eastAsia="uk-UA"/>
        </w:rPr>
        <w:t xml:space="preserve"> </w:t>
      </w:r>
      <w:r w:rsidRPr="00AF23F4">
        <w:rPr>
          <w:rFonts w:ascii="Times New Roman" w:hAnsi="Times New Roman"/>
          <w:lang w:eastAsia="uk-UA"/>
        </w:rPr>
        <w:t>іноземною</w:t>
      </w:r>
      <w:r w:rsidR="00B261D1">
        <w:rPr>
          <w:rFonts w:ascii="Times New Roman" w:hAnsi="Times New Roman"/>
          <w:lang w:val="uk-UA" w:eastAsia="uk-UA"/>
        </w:rPr>
        <w:t xml:space="preserve"> </w:t>
      </w:r>
      <w:r w:rsidRPr="00AF23F4">
        <w:rPr>
          <w:rFonts w:ascii="Times New Roman" w:hAnsi="Times New Roman"/>
          <w:lang w:eastAsia="uk-UA"/>
        </w:rPr>
        <w:t>мовою, необхідно, крім</w:t>
      </w:r>
      <w:r w:rsidR="00B261D1">
        <w:rPr>
          <w:rFonts w:ascii="Times New Roman" w:hAnsi="Times New Roman"/>
          <w:lang w:val="uk-UA" w:eastAsia="uk-UA"/>
        </w:rPr>
        <w:t xml:space="preserve"> </w:t>
      </w:r>
      <w:r w:rsidRPr="00AF23F4">
        <w:rPr>
          <w:rFonts w:ascii="Times New Roman" w:hAnsi="Times New Roman"/>
          <w:lang w:eastAsia="uk-UA"/>
        </w:rPr>
        <w:t>іноземного</w:t>
      </w:r>
      <w:r w:rsidR="00B261D1">
        <w:rPr>
          <w:rFonts w:ascii="Times New Roman" w:hAnsi="Times New Roman"/>
          <w:lang w:val="uk-UA" w:eastAsia="uk-UA"/>
        </w:rPr>
        <w:t xml:space="preserve"> </w:t>
      </w:r>
      <w:r w:rsidRPr="00AF23F4">
        <w:rPr>
          <w:rFonts w:ascii="Times New Roman" w:hAnsi="Times New Roman"/>
          <w:lang w:eastAsia="uk-UA"/>
        </w:rPr>
        <w:t>оригіналу, надати</w:t>
      </w:r>
      <w:r w:rsidR="00B261D1">
        <w:rPr>
          <w:rFonts w:ascii="Times New Roman" w:hAnsi="Times New Roman"/>
          <w:lang w:val="uk-UA" w:eastAsia="uk-UA"/>
        </w:rPr>
        <w:t xml:space="preserve"> </w:t>
      </w:r>
      <w:r w:rsidRPr="00AF23F4">
        <w:rPr>
          <w:rFonts w:ascii="Times New Roman" w:hAnsi="Times New Roman"/>
          <w:lang w:eastAsia="uk-UA"/>
        </w:rPr>
        <w:t>належно</w:t>
      </w:r>
      <w:r w:rsidR="00B261D1">
        <w:rPr>
          <w:rFonts w:ascii="Times New Roman" w:hAnsi="Times New Roman"/>
          <w:lang w:val="uk-UA" w:eastAsia="uk-UA"/>
        </w:rPr>
        <w:t xml:space="preserve"> </w:t>
      </w:r>
      <w:r w:rsidRPr="00AF23F4">
        <w:rPr>
          <w:rFonts w:ascii="Times New Roman" w:hAnsi="Times New Roman"/>
          <w:lang w:eastAsia="uk-UA"/>
        </w:rPr>
        <w:t>завірений</w:t>
      </w:r>
      <w:r w:rsidR="00B261D1">
        <w:rPr>
          <w:rFonts w:ascii="Times New Roman" w:hAnsi="Times New Roman"/>
          <w:lang w:val="uk-UA" w:eastAsia="uk-UA"/>
        </w:rPr>
        <w:t xml:space="preserve"> </w:t>
      </w:r>
      <w:r w:rsidRPr="00AF23F4">
        <w:rPr>
          <w:rFonts w:ascii="Times New Roman" w:hAnsi="Times New Roman"/>
          <w:lang w:eastAsia="uk-UA"/>
        </w:rPr>
        <w:t>його переклад українською</w:t>
      </w:r>
      <w:r w:rsidR="00B261D1">
        <w:rPr>
          <w:rFonts w:ascii="Times New Roman" w:hAnsi="Times New Roman"/>
          <w:lang w:val="uk-UA" w:eastAsia="uk-UA"/>
        </w:rPr>
        <w:t xml:space="preserve"> </w:t>
      </w:r>
      <w:r w:rsidRPr="00AF23F4">
        <w:rPr>
          <w:rFonts w:ascii="Times New Roman" w:hAnsi="Times New Roman"/>
          <w:lang w:eastAsia="uk-UA"/>
        </w:rPr>
        <w:t>мовою).</w:t>
      </w:r>
    </w:p>
    <w:p w:rsidR="00C6238B" w:rsidRPr="00AF23F4" w:rsidRDefault="00C6238B" w:rsidP="007873BB">
      <w:pPr>
        <w:shd w:val="clear" w:color="auto" w:fill="FFFFFF"/>
        <w:contextualSpacing/>
        <w:jc w:val="both"/>
        <w:rPr>
          <w:b/>
          <w:lang w:val="uk-UA"/>
        </w:rPr>
      </w:pPr>
      <w:r w:rsidRPr="00AF23F4">
        <w:rPr>
          <w:b/>
          <w:lang w:val="uk-UA"/>
        </w:rPr>
        <w:t>Спеціальні вимоги:</w:t>
      </w:r>
    </w:p>
    <w:p w:rsidR="00C6238B" w:rsidRPr="00AF23F4" w:rsidRDefault="00C6238B" w:rsidP="007873BB">
      <w:pPr>
        <w:shd w:val="clear" w:color="auto" w:fill="FFFFFF"/>
        <w:contextualSpacing/>
        <w:jc w:val="both"/>
        <w:rPr>
          <w:lang w:val="uk-UA"/>
        </w:rPr>
      </w:pPr>
      <w:r w:rsidRPr="00AF23F4">
        <w:rPr>
          <w:lang w:val="uk-UA"/>
        </w:rPr>
        <w:t>1. Для те</w:t>
      </w:r>
      <w:r w:rsidR="000C76A6" w:rsidRPr="00AF23F4">
        <w:rPr>
          <w:lang w:val="uk-UA"/>
        </w:rPr>
        <w:t>рмолабільних лікарських засобів</w:t>
      </w:r>
      <w:r w:rsidRPr="00AF23F4">
        <w:rPr>
          <w:lang w:val="uk-UA"/>
        </w:rPr>
        <w:t xml:space="preserve"> повинно бути забезпечене суворе дотримання «холодового ланцюга» (засвідчується підготовленим Учасником актом приймання-передавання із зазначенням у ньому умов зберігання товару під час транспортування).</w:t>
      </w:r>
    </w:p>
    <w:bookmarkEnd w:id="0"/>
    <w:p w:rsidR="00C6238B" w:rsidRPr="00AF23F4" w:rsidRDefault="00C6238B" w:rsidP="007873BB">
      <w:pPr>
        <w:autoSpaceDE w:val="0"/>
        <w:autoSpaceDN w:val="0"/>
        <w:adjustRightInd w:val="0"/>
        <w:contextualSpacing/>
        <w:jc w:val="both"/>
        <w:rPr>
          <w:b/>
          <w:lang w:val="uk-UA"/>
        </w:rPr>
      </w:pPr>
    </w:p>
    <w:p w:rsidR="00C66E6E" w:rsidRPr="00AF23F4" w:rsidRDefault="001A17E9" w:rsidP="007873BB">
      <w:pPr>
        <w:contextualSpacing/>
        <w:rPr>
          <w:b/>
          <w:lang w:val="uk-UA"/>
        </w:rPr>
      </w:pPr>
      <w:r w:rsidRPr="00AF23F4">
        <w:rPr>
          <w:b/>
          <w:lang w:val="uk-UA"/>
        </w:rPr>
        <w:t>Лот 1 -</w:t>
      </w:r>
      <w:bookmarkStart w:id="1" w:name="_Hlk89941240"/>
      <w:r w:rsidRPr="00AF23F4">
        <w:rPr>
          <w:b/>
          <w:lang w:val="uk-UA"/>
        </w:rPr>
        <w:t xml:space="preserve"> </w:t>
      </w:r>
      <w:r w:rsidR="00C66E6E" w:rsidRPr="00AF23F4">
        <w:rPr>
          <w:b/>
          <w:lang w:val="uk-UA"/>
        </w:rPr>
        <w:t>Лікарські засоби різні</w:t>
      </w:r>
    </w:p>
    <w:p w:rsidR="008D5BB1" w:rsidRPr="00AF23F4" w:rsidRDefault="008D5BB1" w:rsidP="007873BB">
      <w:pPr>
        <w:contextualSpacing/>
        <w:rPr>
          <w:rFonts w:eastAsia="Times New Roman"/>
          <w:b/>
          <w:bCs/>
          <w:color w:val="000000"/>
          <w:lang w:val="uk-UA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8"/>
        <w:gridCol w:w="850"/>
        <w:gridCol w:w="567"/>
        <w:gridCol w:w="1701"/>
      </w:tblGrid>
      <w:tr w:rsidR="00151385" w:rsidRPr="00AF23F4" w:rsidTr="006D2EC0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51385" w:rsidRPr="00AF23F4" w:rsidRDefault="00151385" w:rsidP="007873BB">
            <w:pPr>
              <w:suppressAutoHyphens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AF23F4">
              <w:rPr>
                <w:rFonts w:eastAsia="Times New Roman"/>
                <w:b/>
                <w:color w:val="000000" w:themeColor="text1"/>
                <w:lang w:val="uk-UA" w:eastAsia="zh-CN"/>
              </w:rPr>
              <w:t>№ п/п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:rsidR="00151385" w:rsidRPr="00AF23F4" w:rsidRDefault="00151385" w:rsidP="007873BB">
            <w:pPr>
              <w:suppressAutoHyphens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AF23F4">
              <w:rPr>
                <w:rFonts w:eastAsia="Times New Roman"/>
                <w:b/>
                <w:color w:val="000000" w:themeColor="text1"/>
                <w:lang w:val="uk-UA" w:eastAsia="zh-CN"/>
              </w:rPr>
              <w:t>Технічні характеристики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151385" w:rsidRPr="00AF23F4" w:rsidRDefault="00151385" w:rsidP="007873BB">
            <w:pPr>
              <w:suppressAutoHyphens/>
              <w:ind w:left="-108" w:right="-108"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AF23F4">
              <w:rPr>
                <w:rFonts w:eastAsia="Times New Roman"/>
                <w:b/>
                <w:color w:val="000000" w:themeColor="text1"/>
                <w:lang w:val="uk-UA" w:eastAsia="zh-CN"/>
              </w:rPr>
              <w:t>Кіль</w:t>
            </w:r>
            <w:r w:rsidR="006D2EC0">
              <w:rPr>
                <w:rFonts w:eastAsia="Times New Roman"/>
                <w:b/>
                <w:color w:val="000000" w:themeColor="text1"/>
                <w:lang w:val="uk-UA" w:eastAsia="zh-CN"/>
              </w:rPr>
              <w:t>-</w:t>
            </w:r>
            <w:r w:rsidRPr="00AF23F4">
              <w:rPr>
                <w:rFonts w:eastAsia="Times New Roman"/>
                <w:b/>
                <w:color w:val="000000" w:themeColor="text1"/>
                <w:lang w:val="uk-UA" w:eastAsia="zh-CN"/>
              </w:rPr>
              <w:t xml:space="preserve">кість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51385" w:rsidRPr="00AF23F4" w:rsidRDefault="00151385" w:rsidP="007873BB">
            <w:pPr>
              <w:ind w:left="-108" w:right="-108"/>
              <w:contextualSpacing/>
              <w:jc w:val="center"/>
              <w:rPr>
                <w:b/>
                <w:color w:val="000000" w:themeColor="text1"/>
                <w:lang w:val="uk-UA" w:eastAsia="en-US"/>
              </w:rPr>
            </w:pPr>
            <w:r w:rsidRPr="00AF23F4">
              <w:rPr>
                <w:b/>
                <w:color w:val="000000" w:themeColor="text1"/>
                <w:lang w:val="uk-UA"/>
              </w:rPr>
              <w:t>Од.</w:t>
            </w:r>
            <w:r w:rsidR="006D2EC0">
              <w:rPr>
                <w:b/>
                <w:color w:val="000000" w:themeColor="text1"/>
                <w:lang w:val="uk-UA"/>
              </w:rPr>
              <w:t xml:space="preserve"> </w:t>
            </w:r>
            <w:r w:rsidRPr="00AF23F4">
              <w:rPr>
                <w:b/>
                <w:color w:val="000000" w:themeColor="text1"/>
                <w:lang w:val="uk-UA"/>
              </w:rPr>
              <w:t>вим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51385" w:rsidRPr="00AF23F4" w:rsidRDefault="00151385" w:rsidP="007873BB">
            <w:pPr>
              <w:ind w:left="-108" w:right="-108"/>
              <w:contextualSpacing/>
              <w:jc w:val="center"/>
              <w:rPr>
                <w:b/>
                <w:color w:val="FFFFFF" w:themeColor="background1"/>
                <w:lang w:val="uk-UA" w:eastAsia="en-US"/>
              </w:rPr>
            </w:pPr>
            <w:r w:rsidRPr="00AF23F4">
              <w:rPr>
                <w:rFonts w:eastAsia="Times New Roman"/>
                <w:b/>
                <w:color w:val="000000" w:themeColor="text1"/>
                <w:lang w:val="uk-UA" w:eastAsia="en-US"/>
              </w:rPr>
              <w:t>Відповідність (заповнюється учасником), так/ні</w:t>
            </w:r>
          </w:p>
        </w:tc>
      </w:tr>
      <w:tr w:rsidR="00C66E6E" w:rsidRPr="00AF23F4" w:rsidTr="006D2EC0">
        <w:tc>
          <w:tcPr>
            <w:tcW w:w="709" w:type="dxa"/>
          </w:tcPr>
          <w:p w:rsidR="00C66E6E" w:rsidRPr="009F60EB" w:rsidRDefault="00C66E6E" w:rsidP="009F60EB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66E6E" w:rsidRPr="00AF23F4" w:rsidRDefault="00C66E6E" w:rsidP="007873BB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</w:pPr>
            <w:r w:rsidRPr="00AF23F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Бупівакаїн (</w:t>
            </w:r>
            <w:r w:rsidRPr="00AF23F4">
              <w:rPr>
                <w:rFonts w:ascii="Times New Roman" w:hAnsi="Times New Roman"/>
                <w:color w:val="auto"/>
                <w:sz w:val="24"/>
                <w:szCs w:val="24"/>
              </w:rPr>
              <w:t>Bupivacaine</w:t>
            </w:r>
            <w:r w:rsidRPr="00AF23F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) розчин д/ін. 2.5 мг/мл по 200 мл №1 у пляш.</w:t>
            </w:r>
          </w:p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Cs/>
                <w:lang w:val="uk-UA" w:eastAsia="uk-UA"/>
              </w:rPr>
              <w:t xml:space="preserve">Склад </w:t>
            </w:r>
            <w:r w:rsidRPr="00AF23F4">
              <w:rPr>
                <w:rFonts w:eastAsia="Times New Roman"/>
                <w:i/>
                <w:iCs/>
                <w:lang w:val="uk-UA" w:eastAsia="uk-UA"/>
              </w:rPr>
              <w:t>діюча речовина: </w:t>
            </w:r>
            <w:r w:rsidRPr="00AF23F4">
              <w:rPr>
                <w:rFonts w:eastAsia="Times New Roman"/>
                <w:lang w:val="uk-UA" w:eastAsia="uk-UA"/>
              </w:rPr>
              <w:t>bupivacaine;</w:t>
            </w:r>
            <w:r w:rsidR="0010447A">
              <w:rPr>
                <w:rFonts w:eastAsia="Times New Roman"/>
                <w:lang w:val="uk-UA" w:eastAsia="uk-UA"/>
              </w:rPr>
              <w:t xml:space="preserve"> </w:t>
            </w:r>
            <w:r w:rsidRPr="00AF23F4">
              <w:rPr>
                <w:rFonts w:eastAsia="Times New Roman"/>
                <w:lang w:val="uk-UA" w:eastAsia="uk-UA"/>
              </w:rPr>
              <w:t>1 мл розчину містить бупівакаїну гідрохлориду безводного 2,5 мг;</w:t>
            </w:r>
            <w:r w:rsidR="00A1602B">
              <w:rPr>
                <w:rFonts w:eastAsia="Times New Roman"/>
                <w:lang w:val="uk-UA" w:eastAsia="uk-UA"/>
              </w:rPr>
              <w:t xml:space="preserve"> </w:t>
            </w:r>
            <w:r w:rsidRPr="00AF23F4">
              <w:rPr>
                <w:rFonts w:eastAsia="Times New Roman"/>
                <w:i/>
                <w:iCs/>
                <w:lang w:val="uk-UA" w:eastAsia="uk-UA"/>
              </w:rPr>
              <w:t>допоміжні речовини:</w:t>
            </w:r>
            <w:r w:rsidR="0010447A">
              <w:rPr>
                <w:rFonts w:eastAsia="Times New Roman"/>
                <w:lang w:val="uk-UA" w:eastAsia="uk-UA"/>
              </w:rPr>
              <w:t xml:space="preserve"> </w:t>
            </w:r>
            <w:r w:rsidRPr="00AF23F4">
              <w:rPr>
                <w:rFonts w:eastAsia="Times New Roman"/>
                <w:lang w:val="uk-UA" w:eastAsia="uk-UA"/>
              </w:rPr>
              <w:t>натрію хлорид; вода для ін’єкцій.</w:t>
            </w:r>
          </w:p>
        </w:tc>
        <w:tc>
          <w:tcPr>
            <w:tcW w:w="850" w:type="dxa"/>
            <w:vAlign w:val="bottom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/>
                <w:lang w:val="uk-UA"/>
              </w:rPr>
              <w:t>96</w:t>
            </w:r>
          </w:p>
        </w:tc>
        <w:tc>
          <w:tcPr>
            <w:tcW w:w="567" w:type="dxa"/>
            <w:vAlign w:val="bottom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/>
                <w:lang w:val="uk-UA"/>
              </w:rPr>
              <w:t>фл</w:t>
            </w:r>
          </w:p>
        </w:tc>
        <w:tc>
          <w:tcPr>
            <w:tcW w:w="1701" w:type="dxa"/>
          </w:tcPr>
          <w:p w:rsidR="00C66E6E" w:rsidRPr="00AF23F4" w:rsidRDefault="00C66E6E" w:rsidP="007873BB">
            <w:pPr>
              <w:contextualSpacing/>
              <w:rPr>
                <w:b/>
                <w:lang w:val="uk-UA"/>
              </w:rPr>
            </w:pPr>
          </w:p>
        </w:tc>
      </w:tr>
      <w:tr w:rsidR="00C66E6E" w:rsidRPr="00AF23F4" w:rsidTr="006D2EC0">
        <w:tc>
          <w:tcPr>
            <w:tcW w:w="709" w:type="dxa"/>
          </w:tcPr>
          <w:p w:rsidR="00C66E6E" w:rsidRPr="009F60EB" w:rsidRDefault="00C66E6E" w:rsidP="009F60EB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66E6E" w:rsidRPr="00AF23F4" w:rsidRDefault="00C66E6E" w:rsidP="007873BB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</w:pPr>
            <w:r w:rsidRPr="00AF23F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Бупівакаїн (</w:t>
            </w:r>
            <w:r w:rsidRPr="00AF23F4">
              <w:rPr>
                <w:rFonts w:ascii="Times New Roman" w:hAnsi="Times New Roman"/>
                <w:color w:val="auto"/>
                <w:sz w:val="24"/>
                <w:szCs w:val="24"/>
              </w:rPr>
              <w:t>Bupivacaine</w:t>
            </w:r>
            <w:r w:rsidRPr="00AF23F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) розчин  5 мг/мл по  №5 в упаковці</w:t>
            </w:r>
          </w:p>
          <w:p w:rsidR="00C66E6E" w:rsidRPr="00AF23F4" w:rsidRDefault="00C66E6E" w:rsidP="007873BB">
            <w:pPr>
              <w:contextualSpacing/>
              <w:rPr>
                <w:rFonts w:eastAsia="Times New Roman"/>
                <w:bCs/>
                <w:lang w:val="uk-UA"/>
              </w:rPr>
            </w:pPr>
            <w:r w:rsidRPr="00AF23F4">
              <w:rPr>
                <w:lang w:val="uk-UA"/>
              </w:rPr>
              <w:t xml:space="preserve">Склад </w:t>
            </w:r>
            <w:r w:rsidRPr="00AF23F4">
              <w:rPr>
                <w:i/>
                <w:iCs/>
                <w:lang w:val="uk-UA"/>
              </w:rPr>
              <w:t>діюча речовина:</w:t>
            </w:r>
            <w:r w:rsidR="0010447A">
              <w:rPr>
                <w:lang w:val="uk-UA"/>
              </w:rPr>
              <w:t xml:space="preserve"> </w:t>
            </w:r>
            <w:r w:rsidRPr="00AF23F4">
              <w:rPr>
                <w:lang w:val="uk-UA"/>
              </w:rPr>
              <w:t>бупівакаїн</w:t>
            </w:r>
            <w:r w:rsidRPr="00AF23F4">
              <w:rPr>
                <w:i/>
                <w:iCs/>
                <w:lang w:val="uk-UA"/>
              </w:rPr>
              <w:t xml:space="preserve">; </w:t>
            </w:r>
            <w:r w:rsidRPr="00AF23F4">
              <w:rPr>
                <w:lang w:val="uk-UA"/>
              </w:rPr>
              <w:t xml:space="preserve">1 мл розчину містить бупівакаїну гідрохлориду безводного 5 мг; ампула по 5 мл ; </w:t>
            </w:r>
            <w:r w:rsidRPr="00AF23F4">
              <w:rPr>
                <w:i/>
                <w:iCs/>
                <w:lang w:val="uk-UA"/>
              </w:rPr>
              <w:t>допоміжні речовини:</w:t>
            </w:r>
            <w:r w:rsidR="0010447A">
              <w:rPr>
                <w:lang w:val="uk-UA"/>
              </w:rPr>
              <w:t xml:space="preserve"> </w:t>
            </w:r>
            <w:r w:rsidRPr="00AF23F4">
              <w:rPr>
                <w:lang w:val="uk-UA"/>
              </w:rPr>
              <w:t>глюкози моногідрат, вода для ін’єкцій. Для спінальної анестезії.</w:t>
            </w:r>
          </w:p>
        </w:tc>
        <w:tc>
          <w:tcPr>
            <w:tcW w:w="850" w:type="dxa"/>
            <w:vAlign w:val="bottom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/>
                <w:lang w:val="uk-UA"/>
              </w:rPr>
              <w:t>50</w:t>
            </w:r>
          </w:p>
        </w:tc>
        <w:tc>
          <w:tcPr>
            <w:tcW w:w="567" w:type="dxa"/>
            <w:vAlign w:val="bottom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/>
                <w:lang w:val="uk-UA"/>
              </w:rPr>
              <w:t>уп</w:t>
            </w:r>
          </w:p>
        </w:tc>
        <w:tc>
          <w:tcPr>
            <w:tcW w:w="1701" w:type="dxa"/>
          </w:tcPr>
          <w:p w:rsidR="00C66E6E" w:rsidRPr="00AF23F4" w:rsidRDefault="00C66E6E" w:rsidP="007873BB">
            <w:pPr>
              <w:contextualSpacing/>
              <w:rPr>
                <w:b/>
                <w:lang w:val="uk-UA"/>
              </w:rPr>
            </w:pPr>
          </w:p>
        </w:tc>
      </w:tr>
      <w:tr w:rsidR="00C66E6E" w:rsidRPr="00AF23F4" w:rsidTr="006D2EC0">
        <w:tc>
          <w:tcPr>
            <w:tcW w:w="709" w:type="dxa"/>
          </w:tcPr>
          <w:p w:rsidR="00C66E6E" w:rsidRPr="009F60EB" w:rsidRDefault="00C66E6E" w:rsidP="009F60EB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/>
                <w:lang w:val="uk-UA"/>
              </w:rPr>
              <w:t>Магнію сульф</w:t>
            </w:r>
            <w:r w:rsidR="0010447A">
              <w:rPr>
                <w:rFonts w:eastAsia="Times New Roman"/>
                <w:b/>
                <w:lang w:val="uk-UA"/>
              </w:rPr>
              <w:t xml:space="preserve">ат 250мг/мл по 5мл №10 в амп. </w:t>
            </w:r>
            <w:r w:rsidRPr="00AF23F4">
              <w:rPr>
                <w:rFonts w:eastAsia="Times New Roman"/>
                <w:b/>
                <w:lang w:val="uk-UA"/>
              </w:rPr>
              <w:t>(</w:t>
            </w:r>
            <w:r w:rsidRPr="00AF23F4">
              <w:rPr>
                <w:rFonts w:eastAsia="Times New Roman"/>
                <w:b/>
              </w:rPr>
              <w:t>Magnesium</w:t>
            </w:r>
            <w:r w:rsidR="0010447A">
              <w:rPr>
                <w:rFonts w:eastAsia="Times New Roman"/>
                <w:b/>
                <w:lang w:val="uk-UA"/>
              </w:rPr>
              <w:t xml:space="preserve"> </w:t>
            </w:r>
            <w:r w:rsidRPr="00AF23F4">
              <w:rPr>
                <w:rFonts w:eastAsia="Times New Roman"/>
                <w:b/>
              </w:rPr>
              <w:t>sulfate</w:t>
            </w:r>
            <w:r w:rsidRPr="00AF23F4">
              <w:rPr>
                <w:rFonts w:eastAsia="Times New Roman"/>
                <w:b/>
                <w:lang w:val="uk-UA"/>
              </w:rPr>
              <w:t>)</w:t>
            </w:r>
          </w:p>
          <w:p w:rsidR="00C66E6E" w:rsidRPr="00AF23F4" w:rsidRDefault="00C66E6E" w:rsidP="0010447A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lang w:val="uk-UA"/>
              </w:rPr>
              <w:t xml:space="preserve">Склад </w:t>
            </w:r>
            <w:r w:rsidRPr="00AF23F4">
              <w:rPr>
                <w:i/>
                <w:iCs/>
                <w:lang w:val="uk-UA"/>
              </w:rPr>
              <w:t>діюча речовина:</w:t>
            </w:r>
            <w:r w:rsidR="00A1602B">
              <w:rPr>
                <w:i/>
                <w:iCs/>
                <w:lang w:val="uk-UA"/>
              </w:rPr>
              <w:t xml:space="preserve"> </w:t>
            </w:r>
            <w:r w:rsidRPr="00AF23F4">
              <w:t>magnesium</w:t>
            </w:r>
            <w:r w:rsidR="0010447A">
              <w:rPr>
                <w:lang w:val="uk-UA"/>
              </w:rPr>
              <w:t xml:space="preserve"> </w:t>
            </w:r>
            <w:r w:rsidRPr="00AF23F4">
              <w:t>sulfate</w:t>
            </w:r>
            <w:r w:rsidR="0010447A">
              <w:rPr>
                <w:lang w:val="uk-UA"/>
              </w:rPr>
              <w:t xml:space="preserve"> </w:t>
            </w:r>
            <w:r w:rsidRPr="00AF23F4">
              <w:t>heptahydrate</w:t>
            </w:r>
            <w:r w:rsidRPr="00AF23F4">
              <w:rPr>
                <w:lang w:val="uk-UA"/>
              </w:rPr>
              <w:t>; 1 мл розчину містить магнію сульфату гептагідрату 250 мг;</w:t>
            </w:r>
            <w:r w:rsidR="0010447A">
              <w:rPr>
                <w:lang w:val="uk-UA"/>
              </w:rPr>
              <w:t xml:space="preserve"> </w:t>
            </w:r>
            <w:r w:rsidRPr="00AF23F4">
              <w:rPr>
                <w:i/>
                <w:iCs/>
                <w:lang w:val="uk-UA"/>
              </w:rPr>
              <w:t>допоміжні речовини:</w:t>
            </w:r>
            <w:r w:rsidR="0010447A">
              <w:rPr>
                <w:i/>
                <w:iCs/>
                <w:lang w:val="uk-UA"/>
              </w:rPr>
              <w:t xml:space="preserve"> </w:t>
            </w:r>
            <w:r w:rsidRPr="00AF23F4">
              <w:rPr>
                <w:lang w:val="uk-UA"/>
              </w:rPr>
              <w:t>натрію гідроксид, кислота хлористоводнева розведена, вода для ін’єкцій.</w:t>
            </w:r>
            <w:r w:rsidR="0010447A">
              <w:rPr>
                <w:lang w:val="uk-UA"/>
              </w:rPr>
              <w:t xml:space="preserve"> </w:t>
            </w:r>
            <w:r w:rsidRPr="00AF23F4">
              <w:rPr>
                <w:lang w:val="uk-UA"/>
              </w:rPr>
              <w:t>Лікарська форма: Розчин для ін’єкцій.</w:t>
            </w:r>
            <w:r w:rsidR="0010447A">
              <w:rPr>
                <w:lang w:val="uk-UA"/>
              </w:rPr>
              <w:t xml:space="preserve"> </w:t>
            </w:r>
            <w:r w:rsidRPr="00AF23F4">
              <w:rPr>
                <w:lang w:val="uk-UA"/>
              </w:rPr>
              <w:t>Упаковка: По 5 мл в ампулах по № 10.</w:t>
            </w:r>
          </w:p>
        </w:tc>
        <w:tc>
          <w:tcPr>
            <w:tcW w:w="850" w:type="dxa"/>
            <w:vAlign w:val="bottom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/>
                <w:lang w:val="uk-UA"/>
              </w:rPr>
              <w:t>800</w:t>
            </w:r>
          </w:p>
        </w:tc>
        <w:tc>
          <w:tcPr>
            <w:tcW w:w="567" w:type="dxa"/>
            <w:vAlign w:val="bottom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/>
                <w:lang w:val="uk-UA"/>
              </w:rPr>
              <w:t>уп</w:t>
            </w:r>
          </w:p>
        </w:tc>
        <w:tc>
          <w:tcPr>
            <w:tcW w:w="1701" w:type="dxa"/>
          </w:tcPr>
          <w:p w:rsidR="00C66E6E" w:rsidRPr="00AF23F4" w:rsidRDefault="00C66E6E" w:rsidP="007873BB">
            <w:pPr>
              <w:contextualSpacing/>
              <w:rPr>
                <w:b/>
                <w:lang w:val="uk-UA"/>
              </w:rPr>
            </w:pPr>
          </w:p>
        </w:tc>
      </w:tr>
      <w:tr w:rsidR="00C66E6E" w:rsidRPr="00AF23F4" w:rsidTr="006D2EC0">
        <w:tc>
          <w:tcPr>
            <w:tcW w:w="709" w:type="dxa"/>
          </w:tcPr>
          <w:p w:rsidR="00C66E6E" w:rsidRPr="009F60EB" w:rsidRDefault="00C66E6E" w:rsidP="009F60EB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66E6E" w:rsidRPr="00AF23F4" w:rsidRDefault="00C66E6E" w:rsidP="007873BB">
            <w:pPr>
              <w:pStyle w:val="1"/>
              <w:shd w:val="clear" w:color="auto" w:fill="FFFFFF" w:themeFill="background1"/>
              <w:spacing w:before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</w:pPr>
            <w:r w:rsidRPr="00AF23F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Парацетамол (</w:t>
            </w:r>
            <w:r w:rsidRPr="00AF23F4">
              <w:rPr>
                <w:rFonts w:ascii="Times New Roman" w:hAnsi="Times New Roman"/>
                <w:color w:val="auto"/>
                <w:sz w:val="24"/>
                <w:szCs w:val="24"/>
              </w:rPr>
              <w:t>Paracetamol</w:t>
            </w:r>
            <w:r w:rsidRPr="00AF23F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)</w:t>
            </w:r>
            <w:r w:rsidR="009A3983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AF23F4">
              <w:rPr>
                <w:rFonts w:ascii="Times New Roman" w:hAnsi="Times New Roman"/>
                <w:color w:val="auto"/>
                <w:sz w:val="24"/>
                <w:szCs w:val="24"/>
              </w:rPr>
              <w:t>розчин д/інф. 10 мг/мл по 100 мл у пляш.</w:t>
            </w:r>
          </w:p>
          <w:p w:rsidR="00C66E6E" w:rsidRPr="00AF23F4" w:rsidRDefault="00C66E6E" w:rsidP="009A3983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Cs/>
                <w:lang w:val="uk-UA" w:eastAsia="uk-UA"/>
              </w:rPr>
              <w:t xml:space="preserve">Склад </w:t>
            </w:r>
            <w:r w:rsidRPr="00AF23F4">
              <w:rPr>
                <w:rFonts w:eastAsia="Times New Roman"/>
                <w:i/>
                <w:iCs/>
                <w:lang w:val="uk-UA" w:eastAsia="uk-UA"/>
              </w:rPr>
              <w:t>діюча речовина:</w:t>
            </w:r>
            <w:r w:rsidR="00A064CA">
              <w:rPr>
                <w:rFonts w:eastAsia="Times New Roman"/>
                <w:lang w:val="uk-UA" w:eastAsia="uk-UA"/>
              </w:rPr>
              <w:t xml:space="preserve"> </w:t>
            </w:r>
            <w:r w:rsidRPr="00AF23F4">
              <w:rPr>
                <w:rFonts w:eastAsia="Times New Roman"/>
                <w:lang w:val="uk-UA" w:eastAsia="uk-UA"/>
              </w:rPr>
              <w:t xml:space="preserve">парацетамол; 1 мл розчину містить парацетамолу 10 мг; </w:t>
            </w:r>
            <w:r w:rsidRPr="00AF23F4">
              <w:rPr>
                <w:rFonts w:eastAsia="Times New Roman"/>
                <w:i/>
                <w:iCs/>
                <w:lang w:val="uk-UA" w:eastAsia="uk-UA"/>
              </w:rPr>
              <w:t>допоміжні речовини:</w:t>
            </w:r>
            <w:r w:rsidR="009A3983">
              <w:rPr>
                <w:rFonts w:eastAsia="Times New Roman"/>
                <w:i/>
                <w:iCs/>
                <w:lang w:val="uk-UA" w:eastAsia="uk-UA"/>
              </w:rPr>
              <w:t xml:space="preserve"> </w:t>
            </w:r>
            <w:r w:rsidRPr="00AF23F4">
              <w:rPr>
                <w:rFonts w:eastAsia="Times New Roman"/>
                <w:lang w:val="uk-UA" w:eastAsia="uk-UA"/>
              </w:rPr>
              <w:t>кислота лимонна, моногідрат; натрію цитрат; сорбіт (Е 420); натрію сульфіт безводний (Е 221); вода для ін’єкцій.</w:t>
            </w:r>
          </w:p>
        </w:tc>
        <w:tc>
          <w:tcPr>
            <w:tcW w:w="850" w:type="dxa"/>
            <w:vAlign w:val="bottom"/>
          </w:tcPr>
          <w:p w:rsidR="00C66E6E" w:rsidRPr="00AF23F4" w:rsidRDefault="00785258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4</w:t>
            </w:r>
            <w:r w:rsidR="00C66E6E" w:rsidRPr="00AF23F4">
              <w:rPr>
                <w:rFonts w:eastAsia="Times New Roman"/>
                <w:b/>
                <w:lang w:val="uk-UA"/>
              </w:rPr>
              <w:t>200</w:t>
            </w:r>
          </w:p>
        </w:tc>
        <w:tc>
          <w:tcPr>
            <w:tcW w:w="567" w:type="dxa"/>
            <w:vAlign w:val="bottom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/>
                <w:lang w:val="uk-UA"/>
              </w:rPr>
              <w:t>фл</w:t>
            </w:r>
          </w:p>
        </w:tc>
        <w:tc>
          <w:tcPr>
            <w:tcW w:w="1701" w:type="dxa"/>
          </w:tcPr>
          <w:p w:rsidR="00C66E6E" w:rsidRPr="00AF23F4" w:rsidRDefault="00C66E6E" w:rsidP="007873BB">
            <w:pPr>
              <w:contextualSpacing/>
              <w:rPr>
                <w:b/>
                <w:lang w:val="uk-UA"/>
              </w:rPr>
            </w:pPr>
          </w:p>
        </w:tc>
      </w:tr>
      <w:tr w:rsidR="00C66E6E" w:rsidRPr="00AF23F4" w:rsidTr="006D2EC0">
        <w:tc>
          <w:tcPr>
            <w:tcW w:w="709" w:type="dxa"/>
          </w:tcPr>
          <w:p w:rsidR="00C66E6E" w:rsidRPr="009F60EB" w:rsidRDefault="00C66E6E" w:rsidP="009F60EB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/>
                <w:lang w:val="uk-UA"/>
              </w:rPr>
              <w:t>Парацетамол 10 мг/мл  20 мл (</w:t>
            </w:r>
            <w:r w:rsidRPr="00AF23F4">
              <w:rPr>
                <w:rFonts w:eastAsia="Times New Roman"/>
                <w:b/>
              </w:rPr>
              <w:t>Paracetamol</w:t>
            </w:r>
            <w:r w:rsidRPr="00AF23F4">
              <w:rPr>
                <w:rFonts w:eastAsia="Times New Roman"/>
                <w:b/>
                <w:lang w:val="uk-UA"/>
              </w:rPr>
              <w:t>) розчин для інфузій</w:t>
            </w:r>
          </w:p>
          <w:p w:rsidR="00C66E6E" w:rsidRPr="009A3983" w:rsidRDefault="00C66E6E" w:rsidP="009A3983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bCs w:val="0"/>
                <w:sz w:val="24"/>
                <w:szCs w:val="24"/>
                <w:lang w:val="uk-UA"/>
              </w:rPr>
            </w:pPr>
            <w:r w:rsidRPr="009A3983">
              <w:rPr>
                <w:b w:val="0"/>
                <w:sz w:val="24"/>
                <w:szCs w:val="24"/>
                <w:lang w:val="uk-UA"/>
              </w:rPr>
              <w:t>Склад</w:t>
            </w:r>
            <w:r w:rsidR="009A3983" w:rsidRPr="009A398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A3983">
              <w:rPr>
                <w:b w:val="0"/>
                <w:i/>
                <w:iCs/>
                <w:sz w:val="24"/>
                <w:szCs w:val="24"/>
                <w:lang w:val="uk-UA"/>
              </w:rPr>
              <w:t>діюча</w:t>
            </w:r>
            <w:r w:rsidR="009A3983" w:rsidRPr="009A3983">
              <w:rPr>
                <w:b w:val="0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A3983">
              <w:rPr>
                <w:b w:val="0"/>
                <w:i/>
                <w:iCs/>
                <w:sz w:val="24"/>
                <w:szCs w:val="24"/>
                <w:lang w:val="uk-UA"/>
              </w:rPr>
              <w:t>речовина:</w:t>
            </w:r>
            <w:r w:rsidR="009A3983" w:rsidRPr="009A3983">
              <w:rPr>
                <w:b w:val="0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A3983">
              <w:rPr>
                <w:b w:val="0"/>
                <w:sz w:val="24"/>
                <w:szCs w:val="24"/>
                <w:lang w:val="uk-UA"/>
              </w:rPr>
              <w:t>парацетамол;</w:t>
            </w:r>
            <w:r w:rsidR="009A3983" w:rsidRPr="009A398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A3983">
              <w:rPr>
                <w:b w:val="0"/>
                <w:sz w:val="24"/>
                <w:szCs w:val="24"/>
                <w:lang w:val="uk-UA"/>
              </w:rPr>
              <w:t>1 мл розчину</w:t>
            </w:r>
            <w:r w:rsidR="009A398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A3983">
              <w:rPr>
                <w:b w:val="0"/>
                <w:sz w:val="24"/>
                <w:szCs w:val="24"/>
                <w:lang w:val="uk-UA"/>
              </w:rPr>
              <w:t>містить парацетамолу 10 мг;</w:t>
            </w:r>
            <w:r w:rsidR="009A3983" w:rsidRPr="009A398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A3983">
              <w:rPr>
                <w:b w:val="0"/>
                <w:i/>
                <w:iCs/>
                <w:sz w:val="24"/>
                <w:szCs w:val="24"/>
                <w:lang w:val="uk-UA"/>
              </w:rPr>
              <w:t>допоміжні</w:t>
            </w:r>
            <w:r w:rsidR="009A3983">
              <w:rPr>
                <w:b w:val="0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A3983">
              <w:rPr>
                <w:b w:val="0"/>
                <w:i/>
                <w:iCs/>
                <w:sz w:val="24"/>
                <w:szCs w:val="24"/>
                <w:lang w:val="uk-UA"/>
              </w:rPr>
              <w:t>речовини:</w:t>
            </w:r>
            <w:r w:rsidR="009A3983">
              <w:rPr>
                <w:b w:val="0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A3983">
              <w:rPr>
                <w:b w:val="0"/>
                <w:sz w:val="24"/>
                <w:szCs w:val="24"/>
                <w:lang w:val="uk-UA"/>
              </w:rPr>
              <w:t>кислота лимонна, моногідрат; натрію цитрат; сорбіт (Е 420); натрію</w:t>
            </w:r>
            <w:r w:rsidR="009A398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A3983">
              <w:rPr>
                <w:b w:val="0"/>
                <w:sz w:val="24"/>
                <w:szCs w:val="24"/>
                <w:lang w:val="uk-UA"/>
              </w:rPr>
              <w:t>сульфіт</w:t>
            </w:r>
            <w:r w:rsidR="009A398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A3983">
              <w:rPr>
                <w:b w:val="0"/>
                <w:sz w:val="24"/>
                <w:szCs w:val="24"/>
                <w:lang w:val="uk-UA"/>
              </w:rPr>
              <w:t>безводний (Е 221); вода для ін’єкцій.</w:t>
            </w:r>
          </w:p>
        </w:tc>
        <w:tc>
          <w:tcPr>
            <w:tcW w:w="850" w:type="dxa"/>
            <w:vAlign w:val="bottom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/>
                <w:lang w:val="uk-UA"/>
              </w:rPr>
              <w:t>50</w:t>
            </w:r>
          </w:p>
        </w:tc>
        <w:tc>
          <w:tcPr>
            <w:tcW w:w="567" w:type="dxa"/>
            <w:vAlign w:val="bottom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/>
                <w:lang w:val="uk-UA"/>
              </w:rPr>
              <w:t>фл</w:t>
            </w:r>
          </w:p>
        </w:tc>
        <w:tc>
          <w:tcPr>
            <w:tcW w:w="1701" w:type="dxa"/>
          </w:tcPr>
          <w:p w:rsidR="00C66E6E" w:rsidRPr="00AF23F4" w:rsidRDefault="00C66E6E" w:rsidP="007873BB">
            <w:pPr>
              <w:contextualSpacing/>
              <w:rPr>
                <w:b/>
                <w:lang w:val="uk-UA"/>
              </w:rPr>
            </w:pPr>
          </w:p>
        </w:tc>
      </w:tr>
      <w:tr w:rsidR="00C66E6E" w:rsidRPr="00AF23F4" w:rsidTr="006D2EC0">
        <w:tc>
          <w:tcPr>
            <w:tcW w:w="709" w:type="dxa"/>
          </w:tcPr>
          <w:p w:rsidR="00C66E6E" w:rsidRPr="009F60EB" w:rsidRDefault="00C66E6E" w:rsidP="009F60EB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66E6E" w:rsidRPr="00AF23F4" w:rsidRDefault="00C66E6E" w:rsidP="007873BB">
            <w:pPr>
              <w:pStyle w:val="2"/>
              <w:shd w:val="clear" w:color="auto" w:fill="FFFFFF"/>
              <w:contextualSpacing/>
              <w:rPr>
                <w:sz w:val="24"/>
                <w:szCs w:val="24"/>
                <w:lang w:val="uk-UA" w:eastAsia="uk-UA"/>
              </w:rPr>
            </w:pPr>
            <w:r w:rsidRPr="00AF23F4">
              <w:rPr>
                <w:sz w:val="24"/>
                <w:szCs w:val="24"/>
                <w:lang w:val="uk-UA"/>
              </w:rPr>
              <w:t>Транексамова кислота (</w:t>
            </w:r>
            <w:r w:rsidRPr="00AF23F4">
              <w:rPr>
                <w:sz w:val="24"/>
                <w:szCs w:val="24"/>
              </w:rPr>
              <w:t>Tranexamic</w:t>
            </w:r>
            <w:r w:rsidR="009A3983">
              <w:rPr>
                <w:sz w:val="24"/>
                <w:szCs w:val="24"/>
                <w:lang w:val="uk-UA"/>
              </w:rPr>
              <w:t xml:space="preserve"> </w:t>
            </w:r>
            <w:r w:rsidRPr="00AF23F4">
              <w:rPr>
                <w:sz w:val="24"/>
                <w:szCs w:val="24"/>
              </w:rPr>
              <w:t>acid</w:t>
            </w:r>
            <w:r w:rsidRPr="00AF23F4">
              <w:rPr>
                <w:sz w:val="24"/>
                <w:szCs w:val="24"/>
                <w:lang w:val="uk-UA"/>
              </w:rPr>
              <w:t>)  розчин д/ін. 100 мг/мл по 5 мл №5 в амп.</w:t>
            </w:r>
          </w:p>
          <w:p w:rsidR="00C66E6E" w:rsidRPr="00AF23F4" w:rsidRDefault="00C66E6E" w:rsidP="00730F90">
            <w:pPr>
              <w:pStyle w:val="2"/>
              <w:shd w:val="clear" w:color="auto" w:fill="FFFFFF"/>
              <w:contextualSpacing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560E3">
              <w:rPr>
                <w:b w:val="0"/>
                <w:bCs w:val="0"/>
                <w:sz w:val="24"/>
                <w:szCs w:val="24"/>
                <w:lang w:val="uk-UA"/>
              </w:rPr>
              <w:t>Склад</w:t>
            </w:r>
            <w:r w:rsidR="009A3983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D560E3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>діюча</w:t>
            </w:r>
            <w:r w:rsidR="009A3983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D560E3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>речовина:</w:t>
            </w:r>
            <w:r w:rsidR="009A3983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D560E3">
              <w:rPr>
                <w:b w:val="0"/>
                <w:bCs w:val="0"/>
                <w:sz w:val="24"/>
                <w:szCs w:val="24"/>
                <w:lang w:val="uk-UA"/>
              </w:rPr>
              <w:t>транексамова кислота;1 мл розчину</w:t>
            </w:r>
            <w:r w:rsidR="009A3983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D560E3">
              <w:rPr>
                <w:b w:val="0"/>
                <w:bCs w:val="0"/>
                <w:sz w:val="24"/>
                <w:szCs w:val="24"/>
                <w:lang w:val="uk-UA"/>
              </w:rPr>
              <w:t>містить</w:t>
            </w:r>
            <w:r w:rsidR="009A3983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D560E3">
              <w:rPr>
                <w:b w:val="0"/>
                <w:bCs w:val="0"/>
                <w:sz w:val="24"/>
                <w:szCs w:val="24"/>
                <w:lang w:val="uk-UA"/>
              </w:rPr>
              <w:t>транексамової</w:t>
            </w:r>
            <w:r w:rsidR="009A3983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D560E3">
              <w:rPr>
                <w:b w:val="0"/>
                <w:bCs w:val="0"/>
                <w:sz w:val="24"/>
                <w:szCs w:val="24"/>
                <w:lang w:val="uk-UA"/>
              </w:rPr>
              <w:t>кислоти 100 мг;</w:t>
            </w:r>
            <w:r w:rsidR="009A3983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D560E3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>допоміжна</w:t>
            </w:r>
            <w:r w:rsidR="00730F90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D560E3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>речовина:</w:t>
            </w:r>
            <w:r w:rsidR="00730F90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D560E3">
              <w:rPr>
                <w:b w:val="0"/>
                <w:bCs w:val="0"/>
                <w:sz w:val="24"/>
                <w:szCs w:val="24"/>
                <w:lang w:val="uk-UA"/>
              </w:rPr>
              <w:t>вода для ін’єкцій.</w:t>
            </w:r>
          </w:p>
        </w:tc>
        <w:tc>
          <w:tcPr>
            <w:tcW w:w="850" w:type="dxa"/>
            <w:vAlign w:val="bottom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/>
                <w:lang w:val="uk-UA"/>
              </w:rPr>
              <w:t>500</w:t>
            </w:r>
          </w:p>
        </w:tc>
        <w:tc>
          <w:tcPr>
            <w:tcW w:w="567" w:type="dxa"/>
            <w:vAlign w:val="bottom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/>
                <w:lang w:val="uk-UA"/>
              </w:rPr>
              <w:t>уп</w:t>
            </w:r>
          </w:p>
        </w:tc>
        <w:tc>
          <w:tcPr>
            <w:tcW w:w="1701" w:type="dxa"/>
          </w:tcPr>
          <w:p w:rsidR="00C66E6E" w:rsidRPr="00AF23F4" w:rsidRDefault="00C66E6E" w:rsidP="007873BB">
            <w:pPr>
              <w:contextualSpacing/>
              <w:rPr>
                <w:b/>
                <w:lang w:val="uk-UA"/>
              </w:rPr>
            </w:pPr>
          </w:p>
        </w:tc>
      </w:tr>
      <w:tr w:rsidR="00C66E6E" w:rsidRPr="00AF23F4" w:rsidTr="006D2EC0">
        <w:tc>
          <w:tcPr>
            <w:tcW w:w="709" w:type="dxa"/>
          </w:tcPr>
          <w:p w:rsidR="00C66E6E" w:rsidRPr="009F60EB" w:rsidRDefault="00C66E6E" w:rsidP="009F60EB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</w:tcPr>
          <w:p w:rsidR="00C66E6E" w:rsidRPr="00AF23F4" w:rsidRDefault="00C66E6E" w:rsidP="007873BB">
            <w:pPr>
              <w:contextualSpacing/>
              <w:rPr>
                <w:b/>
                <w:lang w:val="uk-UA"/>
              </w:rPr>
            </w:pPr>
            <w:r w:rsidRPr="00AF23F4">
              <w:rPr>
                <w:b/>
                <w:lang w:val="uk-UA"/>
              </w:rPr>
              <w:t>Флуконазол (</w:t>
            </w:r>
            <w:r w:rsidRPr="00AF23F4">
              <w:rPr>
                <w:b/>
              </w:rPr>
              <w:t>Fluconazole</w:t>
            </w:r>
            <w:r w:rsidRPr="00AF23F4">
              <w:rPr>
                <w:b/>
                <w:lang w:val="uk-UA"/>
              </w:rPr>
              <w:t>) ін’єкції: 2 мг/мл у флаконі по 100 мл</w:t>
            </w:r>
          </w:p>
          <w:p w:rsidR="00C66E6E" w:rsidRPr="00AF23F4" w:rsidRDefault="00C66E6E" w:rsidP="00730F90">
            <w:pPr>
              <w:shd w:val="clear" w:color="auto" w:fill="FFFFFF"/>
              <w:contextualSpacing/>
              <w:outlineLvl w:val="1"/>
              <w:rPr>
                <w:rFonts w:eastAsia="Times New Roman"/>
                <w:lang w:val="uk-UA" w:eastAsia="uk-UA"/>
              </w:rPr>
            </w:pPr>
            <w:r w:rsidRPr="00AF23F4">
              <w:rPr>
                <w:rFonts w:eastAsia="Times New Roman"/>
                <w:bCs/>
                <w:lang w:val="uk-UA" w:eastAsia="uk-UA"/>
              </w:rPr>
              <w:t>Склад</w:t>
            </w:r>
            <w:r w:rsidR="00730F90">
              <w:rPr>
                <w:rFonts w:eastAsia="Times New Roman"/>
                <w:bCs/>
                <w:lang w:val="uk-UA" w:eastAsia="uk-UA"/>
              </w:rPr>
              <w:t xml:space="preserve"> </w:t>
            </w:r>
            <w:r w:rsidRPr="00AF23F4">
              <w:rPr>
                <w:rFonts w:eastAsia="Times New Roman"/>
                <w:i/>
                <w:iCs/>
                <w:lang w:val="uk-UA" w:eastAsia="uk-UA"/>
              </w:rPr>
              <w:t>діюча речовина:</w:t>
            </w:r>
            <w:r w:rsidR="00730F90">
              <w:rPr>
                <w:rFonts w:eastAsia="Times New Roman"/>
                <w:i/>
                <w:iCs/>
                <w:lang w:val="uk-UA" w:eastAsia="uk-UA"/>
              </w:rPr>
              <w:t xml:space="preserve"> </w:t>
            </w:r>
            <w:r w:rsidRPr="00AF23F4">
              <w:rPr>
                <w:rFonts w:eastAsia="Times New Roman"/>
                <w:lang w:val="uk-UA" w:eastAsia="uk-UA"/>
              </w:rPr>
              <w:t>флуконазол;</w:t>
            </w:r>
            <w:r w:rsidR="00730F90">
              <w:rPr>
                <w:rFonts w:eastAsia="Times New Roman"/>
                <w:lang w:val="uk-UA" w:eastAsia="uk-UA"/>
              </w:rPr>
              <w:t xml:space="preserve"> </w:t>
            </w:r>
            <w:r w:rsidRPr="00AF23F4">
              <w:rPr>
                <w:rFonts w:eastAsia="Times New Roman"/>
                <w:lang w:val="uk-UA" w:eastAsia="uk-UA"/>
              </w:rPr>
              <w:t>100 мл розчину містить флуконазолу 200 мг;</w:t>
            </w:r>
            <w:r w:rsidR="00730F90">
              <w:rPr>
                <w:rFonts w:eastAsia="Times New Roman"/>
                <w:lang w:val="uk-UA" w:eastAsia="uk-UA"/>
              </w:rPr>
              <w:t xml:space="preserve"> </w:t>
            </w:r>
            <w:r w:rsidRPr="00AF23F4">
              <w:rPr>
                <w:rFonts w:eastAsia="Times New Roman"/>
                <w:i/>
                <w:iCs/>
                <w:lang w:val="uk-UA" w:eastAsia="uk-UA"/>
              </w:rPr>
              <w:t>допоміжні речовини: </w:t>
            </w:r>
            <w:r w:rsidRPr="00AF23F4">
              <w:rPr>
                <w:rFonts w:eastAsia="Times New Roman"/>
                <w:lang w:val="uk-UA" w:eastAsia="uk-UA"/>
              </w:rPr>
              <w:t>натрію хлорид, вода для ін’єкцій.</w:t>
            </w:r>
            <w:r w:rsidR="00730F90">
              <w:rPr>
                <w:rFonts w:eastAsia="Times New Roman"/>
                <w:lang w:val="uk-UA" w:eastAsia="uk-UA"/>
              </w:rPr>
              <w:t xml:space="preserve"> </w:t>
            </w:r>
            <w:r w:rsidRPr="00AF23F4">
              <w:rPr>
                <w:rFonts w:eastAsia="Times New Roman"/>
                <w:lang w:val="uk-UA" w:eastAsia="uk-UA"/>
              </w:rPr>
              <w:t>Флакон по 100 мл.</w:t>
            </w:r>
          </w:p>
        </w:tc>
        <w:tc>
          <w:tcPr>
            <w:tcW w:w="850" w:type="dxa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b/>
                <w:lang w:val="uk-UA"/>
              </w:rPr>
              <w:t>550</w:t>
            </w:r>
          </w:p>
        </w:tc>
        <w:tc>
          <w:tcPr>
            <w:tcW w:w="567" w:type="dxa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b/>
                <w:lang w:val="uk-UA"/>
              </w:rPr>
              <w:t>фл</w:t>
            </w:r>
          </w:p>
        </w:tc>
        <w:tc>
          <w:tcPr>
            <w:tcW w:w="1701" w:type="dxa"/>
          </w:tcPr>
          <w:p w:rsidR="00C66E6E" w:rsidRPr="00AF23F4" w:rsidRDefault="00C66E6E" w:rsidP="007873BB">
            <w:pPr>
              <w:contextualSpacing/>
              <w:rPr>
                <w:b/>
                <w:lang w:val="uk-UA"/>
              </w:rPr>
            </w:pPr>
          </w:p>
        </w:tc>
      </w:tr>
      <w:tr w:rsidR="00C66E6E" w:rsidRPr="00AF23F4" w:rsidTr="006D2EC0">
        <w:tc>
          <w:tcPr>
            <w:tcW w:w="709" w:type="dxa"/>
          </w:tcPr>
          <w:p w:rsidR="00C66E6E" w:rsidRPr="009F60EB" w:rsidRDefault="00C66E6E" w:rsidP="009F60EB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</w:tcPr>
          <w:p w:rsidR="00730F90" w:rsidRDefault="00730F90" w:rsidP="00730F90">
            <w:pPr>
              <w:pStyle w:val="a4"/>
              <w:shd w:val="clear" w:color="auto" w:fill="FFFFFF"/>
              <w:spacing w:before="0" w:beforeAutospacing="0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Метамізол </w:t>
            </w:r>
            <w:r w:rsidR="00C66E6E" w:rsidRPr="00AF23F4">
              <w:rPr>
                <w:b/>
                <w:lang w:val="uk-UA"/>
              </w:rPr>
              <w:t>натрію (</w:t>
            </w:r>
            <w:r w:rsidR="00C66E6E" w:rsidRPr="00AF23F4">
              <w:rPr>
                <w:b/>
              </w:rPr>
              <w:t>Metamizole</w:t>
            </w:r>
            <w:r>
              <w:rPr>
                <w:b/>
                <w:lang w:val="uk-UA"/>
              </w:rPr>
              <w:t xml:space="preserve"> </w:t>
            </w:r>
            <w:r w:rsidR="00C66E6E" w:rsidRPr="00AF23F4">
              <w:rPr>
                <w:b/>
              </w:rPr>
              <w:t>sodium</w:t>
            </w:r>
            <w:r w:rsidR="00C66E6E" w:rsidRPr="00AF23F4">
              <w:rPr>
                <w:b/>
                <w:lang w:val="uk-UA"/>
              </w:rPr>
              <w:t>)  2мл №10</w:t>
            </w:r>
          </w:p>
          <w:p w:rsidR="00C66E6E" w:rsidRPr="00730F90" w:rsidRDefault="00C66E6E" w:rsidP="00730F90">
            <w:pPr>
              <w:pStyle w:val="a4"/>
              <w:shd w:val="clear" w:color="auto" w:fill="FFFFFF"/>
              <w:spacing w:before="0" w:beforeAutospacing="0"/>
              <w:contextualSpacing/>
              <w:rPr>
                <w:bCs/>
                <w:lang w:val="uk-UA"/>
              </w:rPr>
            </w:pPr>
            <w:r w:rsidRPr="00730F90">
              <w:rPr>
                <w:bCs/>
                <w:i/>
                <w:iCs/>
                <w:lang w:val="uk-UA" w:eastAsia="uk-UA"/>
              </w:rPr>
              <w:t>Склад : діюча речовина: </w:t>
            </w:r>
            <w:r w:rsidRPr="00730F90">
              <w:rPr>
                <w:bCs/>
                <w:lang w:val="uk-UA" w:eastAsia="uk-UA"/>
              </w:rPr>
              <w:t xml:space="preserve">metamizolesodium; 1 мл розчину містить метамізолу натрію 500 мг; </w:t>
            </w:r>
            <w:r w:rsidRPr="00730F90">
              <w:rPr>
                <w:bCs/>
                <w:i/>
                <w:iCs/>
                <w:lang w:val="uk-UA" w:eastAsia="uk-UA"/>
              </w:rPr>
              <w:t>допоміжні речовини: </w:t>
            </w:r>
            <w:r w:rsidRPr="00730F90">
              <w:rPr>
                <w:bCs/>
                <w:lang w:val="uk-UA" w:eastAsia="uk-UA"/>
              </w:rPr>
              <w:t xml:space="preserve">натрію сульфіт безводний (Е 221), натрію формальдегід сульфоксилатдигідрат, кислота хлористоводнева розведена, вода для ін’єкцій. </w:t>
            </w:r>
            <w:r w:rsidRPr="00730F90">
              <w:rPr>
                <w:bCs/>
                <w:lang w:val="uk-UA"/>
              </w:rPr>
              <w:t>Лікарська форма: Розчин для ін’єкцій.Упаковка: По 2 мл в ампулах № 10 у коробці;</w:t>
            </w:r>
          </w:p>
        </w:tc>
        <w:tc>
          <w:tcPr>
            <w:tcW w:w="850" w:type="dxa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b/>
                <w:lang w:val="uk-UA"/>
              </w:rPr>
              <w:t>1600</w:t>
            </w:r>
          </w:p>
        </w:tc>
        <w:tc>
          <w:tcPr>
            <w:tcW w:w="567" w:type="dxa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b/>
                <w:lang w:val="uk-UA"/>
              </w:rPr>
              <w:t>уп</w:t>
            </w:r>
          </w:p>
        </w:tc>
        <w:tc>
          <w:tcPr>
            <w:tcW w:w="1701" w:type="dxa"/>
          </w:tcPr>
          <w:p w:rsidR="00C66E6E" w:rsidRPr="00AF23F4" w:rsidRDefault="00C66E6E" w:rsidP="007873BB">
            <w:pPr>
              <w:contextualSpacing/>
              <w:rPr>
                <w:b/>
                <w:lang w:val="uk-UA"/>
              </w:rPr>
            </w:pPr>
          </w:p>
        </w:tc>
      </w:tr>
      <w:tr w:rsidR="00C66E6E" w:rsidRPr="00AF23F4" w:rsidTr="006D2EC0">
        <w:tc>
          <w:tcPr>
            <w:tcW w:w="709" w:type="dxa"/>
          </w:tcPr>
          <w:p w:rsidR="00C66E6E" w:rsidRPr="009F60EB" w:rsidRDefault="00C66E6E" w:rsidP="009F60EB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66E6E" w:rsidRPr="00AF23F4" w:rsidRDefault="00C66E6E" w:rsidP="007873BB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6D2EC0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Цефепім (</w:t>
            </w:r>
            <w:r w:rsidRPr="00AF23F4">
              <w:rPr>
                <w:rFonts w:ascii="Times New Roman" w:hAnsi="Times New Roman"/>
                <w:color w:val="auto"/>
                <w:sz w:val="24"/>
                <w:szCs w:val="24"/>
              </w:rPr>
              <w:t>Cefepime</w:t>
            </w:r>
            <w:r w:rsidRPr="006D2EC0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)</w:t>
            </w:r>
            <w:r w:rsidRPr="00AF23F4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6D2EC0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порошок для р-ну д/ін. по 1000 мг №1 у флак.</w:t>
            </w:r>
            <w:r w:rsidRPr="006D2EC0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br/>
            </w:r>
            <w:r w:rsidRPr="00AF23F4"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uk-UA" w:eastAsia="ru-RU"/>
              </w:rPr>
              <w:t>діюча речовина:</w:t>
            </w:r>
            <w:r w:rsidRPr="00AF23F4"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ru-RU"/>
              </w:rPr>
              <w:t> </w:t>
            </w:r>
            <w:r w:rsidRPr="00AF23F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cefepime</w:t>
            </w:r>
            <w:r w:rsidRPr="00AF23F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 w:eastAsia="ru-RU"/>
              </w:rPr>
              <w:t>;</w:t>
            </w:r>
            <w:r w:rsidR="00C0624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AF23F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 w:eastAsia="ru-RU"/>
              </w:rPr>
              <w:t>1 флакон містить цефепіму гідрохлориду еквівалентно цефепіму 1000 мг;</w:t>
            </w:r>
            <w:r w:rsidR="00C0624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AF23F4"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uk-UA" w:eastAsia="ru-RU"/>
              </w:rPr>
              <w:t>допоміжна речовина:</w:t>
            </w:r>
            <w:r w:rsidR="00C0624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AF23F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L</w:t>
            </w:r>
            <w:r w:rsidRPr="00AF23F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 w:eastAsia="ru-RU"/>
              </w:rPr>
              <w:t>-аргінін.</w:t>
            </w:r>
          </w:p>
        </w:tc>
        <w:tc>
          <w:tcPr>
            <w:tcW w:w="850" w:type="dxa"/>
            <w:vAlign w:val="bottom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/>
                <w:lang w:val="uk-UA"/>
              </w:rPr>
              <w:t>600</w:t>
            </w:r>
          </w:p>
        </w:tc>
        <w:tc>
          <w:tcPr>
            <w:tcW w:w="567" w:type="dxa"/>
            <w:vAlign w:val="bottom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/>
                <w:lang w:val="uk-UA"/>
              </w:rPr>
              <w:t>фл</w:t>
            </w:r>
          </w:p>
        </w:tc>
        <w:tc>
          <w:tcPr>
            <w:tcW w:w="1701" w:type="dxa"/>
          </w:tcPr>
          <w:p w:rsidR="00C66E6E" w:rsidRPr="00AF23F4" w:rsidRDefault="00C66E6E" w:rsidP="007873BB">
            <w:pPr>
              <w:contextualSpacing/>
              <w:rPr>
                <w:b/>
                <w:lang w:val="uk-UA"/>
              </w:rPr>
            </w:pPr>
          </w:p>
        </w:tc>
      </w:tr>
      <w:tr w:rsidR="00C66E6E" w:rsidRPr="00AF23F4" w:rsidTr="006D2EC0">
        <w:tc>
          <w:tcPr>
            <w:tcW w:w="709" w:type="dxa"/>
          </w:tcPr>
          <w:p w:rsidR="00C66E6E" w:rsidRPr="009F60EB" w:rsidRDefault="00C66E6E" w:rsidP="009F60EB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66E6E" w:rsidRPr="00AF23F4" w:rsidRDefault="00C66E6E" w:rsidP="007873BB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F23F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Лінезолід (</w:t>
            </w:r>
            <w:r w:rsidRPr="00AF23F4">
              <w:rPr>
                <w:rFonts w:ascii="Times New Roman" w:hAnsi="Times New Roman"/>
                <w:color w:val="auto"/>
                <w:sz w:val="24"/>
                <w:szCs w:val="24"/>
              </w:rPr>
              <w:t>Linezolid</w:t>
            </w:r>
            <w:r w:rsidRPr="00AF23F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) розчин д/інф. 2 мг/мл по 300 мл у конт. полім.</w:t>
            </w:r>
          </w:p>
          <w:p w:rsidR="00C66E6E" w:rsidRPr="00AF23F4" w:rsidRDefault="00C66E6E" w:rsidP="00C0624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AF23F4"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uk-UA"/>
              </w:rPr>
              <w:t>діюча речовина:</w:t>
            </w:r>
            <w:r w:rsidR="00C0624A"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r w:rsidRPr="00AF23F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лінезолід;</w:t>
            </w:r>
            <w:r w:rsidR="00C0624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F23F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1 мл розчину містить 2 мг лінезоліду (у перерахунку на 100 % речовину);</w:t>
            </w:r>
            <w:r w:rsidR="00C0624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F23F4"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uk-UA"/>
              </w:rPr>
              <w:t>допоміжні речовини:</w:t>
            </w:r>
            <w:r w:rsidR="00C0624A"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r w:rsidRPr="00AF23F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натрію цитрат, кислота лимонна безводна, глюкоза моногідрат, натрію гідроксид*, кислота хлористоводнева*, вода для ін’єкцій.</w:t>
            </w:r>
          </w:p>
        </w:tc>
        <w:tc>
          <w:tcPr>
            <w:tcW w:w="850" w:type="dxa"/>
            <w:vAlign w:val="bottom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/>
                <w:lang w:val="uk-UA"/>
              </w:rPr>
              <w:t>30</w:t>
            </w:r>
          </w:p>
        </w:tc>
        <w:tc>
          <w:tcPr>
            <w:tcW w:w="567" w:type="dxa"/>
            <w:vAlign w:val="bottom"/>
          </w:tcPr>
          <w:p w:rsidR="00C66E6E" w:rsidRPr="00AF23F4" w:rsidRDefault="00C66E6E" w:rsidP="007873BB">
            <w:pPr>
              <w:contextualSpacing/>
              <w:rPr>
                <w:rFonts w:eastAsia="Times New Roman"/>
                <w:b/>
                <w:lang w:val="uk-UA"/>
              </w:rPr>
            </w:pPr>
            <w:r w:rsidRPr="00AF23F4">
              <w:rPr>
                <w:rFonts w:eastAsia="Times New Roman"/>
                <w:b/>
                <w:lang w:val="uk-UA"/>
              </w:rPr>
              <w:t>фл</w:t>
            </w:r>
          </w:p>
        </w:tc>
        <w:tc>
          <w:tcPr>
            <w:tcW w:w="1701" w:type="dxa"/>
          </w:tcPr>
          <w:p w:rsidR="00C66E6E" w:rsidRPr="00AF23F4" w:rsidRDefault="00C66E6E" w:rsidP="007873BB">
            <w:pPr>
              <w:contextualSpacing/>
              <w:rPr>
                <w:b/>
                <w:lang w:val="uk-UA"/>
              </w:rPr>
            </w:pPr>
          </w:p>
        </w:tc>
      </w:tr>
      <w:bookmarkEnd w:id="1"/>
    </w:tbl>
    <w:p w:rsidR="009F60EB" w:rsidRDefault="009F60EB" w:rsidP="007873BB">
      <w:pPr>
        <w:widowControl w:val="0"/>
        <w:suppressAutoHyphens/>
        <w:autoSpaceDN w:val="0"/>
        <w:contextualSpacing/>
        <w:jc w:val="both"/>
        <w:textAlignment w:val="baseline"/>
        <w:rPr>
          <w:rFonts w:eastAsia="Times New Roman"/>
          <w:b/>
          <w:color w:val="000000"/>
          <w:lang w:val="uk-UA"/>
        </w:rPr>
      </w:pPr>
    </w:p>
    <w:p w:rsidR="000C76A6" w:rsidRPr="00D560E3" w:rsidRDefault="000C76A6" w:rsidP="007873BB">
      <w:pPr>
        <w:widowControl w:val="0"/>
        <w:suppressAutoHyphens/>
        <w:autoSpaceDN w:val="0"/>
        <w:contextualSpacing/>
        <w:jc w:val="both"/>
        <w:textAlignment w:val="baseline"/>
        <w:rPr>
          <w:rFonts w:eastAsia="Times New Roman"/>
          <w:i/>
          <w:color w:val="000000"/>
          <w:lang w:val="uk-UA"/>
        </w:rPr>
      </w:pPr>
      <w:r w:rsidRPr="00AF23F4">
        <w:rPr>
          <w:rFonts w:eastAsia="Times New Roman"/>
          <w:b/>
          <w:color w:val="000000"/>
          <w:lang w:val="uk-UA"/>
        </w:rPr>
        <w:t>*</w:t>
      </w:r>
      <w:r w:rsidRPr="00AF23F4">
        <w:rPr>
          <w:rFonts w:eastAsia="Times New Roman"/>
          <w:i/>
          <w:color w:val="000000"/>
          <w:lang w:val="uk-UA"/>
        </w:rPr>
        <w:t>у</w:t>
      </w:r>
      <w:r w:rsidRPr="00D560E3">
        <w:rPr>
          <w:rFonts w:eastAsia="Times New Roman"/>
          <w:i/>
          <w:color w:val="000000"/>
          <w:lang w:val="uk-UA"/>
        </w:rPr>
        <w:t xml:space="preserve"> кожному випадку де у тексті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даного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Технічного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завдання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згадуються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посилання на конкретні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торговельну марку чи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фірму, патент, конструкцію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або тип предмета закупівлі, джерело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його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походження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або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виробника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мається на увазі, що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Замовник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зазначає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після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кожної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такої характеристики вираз "або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еквівалент".</w:t>
      </w:r>
    </w:p>
    <w:p w:rsidR="000C76A6" w:rsidRPr="00D560E3" w:rsidRDefault="000C76A6" w:rsidP="007873BB">
      <w:pPr>
        <w:widowControl w:val="0"/>
        <w:suppressAutoHyphens/>
        <w:autoSpaceDN w:val="0"/>
        <w:contextualSpacing/>
        <w:jc w:val="both"/>
        <w:textAlignment w:val="baseline"/>
        <w:rPr>
          <w:rFonts w:eastAsia="Times New Roman"/>
          <w:color w:val="000000"/>
          <w:lang w:val="uk-UA"/>
        </w:rPr>
      </w:pPr>
    </w:p>
    <w:p w:rsidR="000C76A6" w:rsidRPr="00D560E3" w:rsidRDefault="000C76A6" w:rsidP="007873BB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rFonts w:eastAsia="Times New Roman"/>
          <w:color w:val="000000"/>
          <w:lang w:val="uk-UA"/>
        </w:rPr>
      </w:pPr>
      <w:r w:rsidRPr="00D560E3">
        <w:rPr>
          <w:rFonts w:eastAsia="Times New Roman"/>
          <w:color w:val="000000"/>
          <w:lang w:val="uk-UA"/>
        </w:rPr>
        <w:t>Замовник не вчиняє та зобов’язується не вчиняти будь-яких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дій, що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обмежують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конкуренцію, не здійснює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дискримінацію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учасників та не обмежує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їх у поданні в пропозиції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еквівалентних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товарів, якщо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такі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товари є аналогічні по своїм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технічним та якісним характеристикам і можуть бути використані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Замовником у своїй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діяльності.</w:t>
      </w:r>
    </w:p>
    <w:p w:rsidR="000C76A6" w:rsidRPr="00D560E3" w:rsidRDefault="000C76A6" w:rsidP="007873BB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rFonts w:eastAsia="Times New Roman"/>
          <w:color w:val="000000"/>
          <w:lang w:val="uk-UA"/>
        </w:rPr>
      </w:pPr>
      <w:r w:rsidRPr="00D560E3">
        <w:rPr>
          <w:rFonts w:eastAsia="Times New Roman"/>
          <w:color w:val="000000"/>
          <w:lang w:val="uk-UA"/>
        </w:rPr>
        <w:t>Якщо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Учасник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подає товар/технології/механізми, що є еквівалентом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він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зобов’язаний подати у складі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своєї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пропозиції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порівняльну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таблицю в розрізі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усіх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технічних характеристик зазначених у Технічному</w:t>
      </w:r>
      <w:r w:rsidR="00177A74">
        <w:rPr>
          <w:rFonts w:eastAsia="Times New Roman"/>
          <w:color w:val="000000"/>
          <w:lang w:val="uk-UA"/>
        </w:rPr>
        <w:t xml:space="preserve"> з</w:t>
      </w:r>
      <w:r w:rsidRPr="00D560E3">
        <w:rPr>
          <w:rFonts w:eastAsia="Times New Roman"/>
          <w:color w:val="000000"/>
          <w:lang w:val="uk-UA"/>
        </w:rPr>
        <w:t>авданні, та лист-пояснення про відповідність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запропонованого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Учасником товару вимогамзакупівлі та фото аналогу.</w:t>
      </w:r>
    </w:p>
    <w:p w:rsidR="000C76A6" w:rsidRPr="00AF23F4" w:rsidRDefault="000C76A6" w:rsidP="007873BB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rFonts w:eastAsia="Times New Roman"/>
          <w:color w:val="000000"/>
        </w:rPr>
      </w:pPr>
      <w:r w:rsidRPr="00AF23F4">
        <w:rPr>
          <w:rFonts w:eastAsia="Times New Roman"/>
          <w:color w:val="000000"/>
        </w:rPr>
        <w:t>Невідповідність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даних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зазначених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учасником з наданими документами є підставою для відхилення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тендерної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пропозиції.</w:t>
      </w:r>
    </w:p>
    <w:sectPr w:rsidR="000C76A6" w:rsidRPr="00AF23F4" w:rsidSect="008113A8">
      <w:footerReference w:type="default" r:id="rId8"/>
      <w:pgSz w:w="11906" w:h="16838"/>
      <w:pgMar w:top="567" w:right="709" w:bottom="567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5B" w:rsidRDefault="00ED2E5B" w:rsidP="00240FEF">
      <w:r>
        <w:separator/>
      </w:r>
    </w:p>
  </w:endnote>
  <w:endnote w:type="continuationSeparator" w:id="1">
    <w:p w:rsidR="00ED2E5B" w:rsidRDefault="00ED2E5B" w:rsidP="00240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84516"/>
      <w:docPartObj>
        <w:docPartGallery w:val="Page Numbers (Bottom of Page)"/>
        <w:docPartUnique/>
      </w:docPartObj>
    </w:sdtPr>
    <w:sdtContent>
      <w:p w:rsidR="003C1256" w:rsidRDefault="00EA056B">
        <w:pPr>
          <w:pStyle w:val="a9"/>
          <w:jc w:val="right"/>
        </w:pPr>
        <w:fldSimple w:instr=" PAGE   \* MERGEFORMAT ">
          <w:r w:rsidR="00A064CA">
            <w:rPr>
              <w:noProof/>
            </w:rPr>
            <w:t>2</w:t>
          </w:r>
        </w:fldSimple>
      </w:p>
    </w:sdtContent>
  </w:sdt>
  <w:p w:rsidR="003C1256" w:rsidRDefault="003C12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5B" w:rsidRDefault="00ED2E5B" w:rsidP="00240FEF">
      <w:r>
        <w:separator/>
      </w:r>
    </w:p>
  </w:footnote>
  <w:footnote w:type="continuationSeparator" w:id="1">
    <w:p w:rsidR="00ED2E5B" w:rsidRDefault="00ED2E5B" w:rsidP="00240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5B6"/>
    <w:multiLevelType w:val="hybridMultilevel"/>
    <w:tmpl w:val="88244710"/>
    <w:lvl w:ilvl="0" w:tplc="5008CC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44836"/>
    <w:multiLevelType w:val="hybridMultilevel"/>
    <w:tmpl w:val="0FACA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75FF5"/>
    <w:multiLevelType w:val="hybridMultilevel"/>
    <w:tmpl w:val="63CC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2221B"/>
    <w:multiLevelType w:val="hybridMultilevel"/>
    <w:tmpl w:val="1E62E0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773F"/>
    <w:multiLevelType w:val="hybridMultilevel"/>
    <w:tmpl w:val="DD5800D4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6D0"/>
    <w:rsid w:val="00010BF8"/>
    <w:rsid w:val="00033CB4"/>
    <w:rsid w:val="00035163"/>
    <w:rsid w:val="0004454E"/>
    <w:rsid w:val="000530C8"/>
    <w:rsid w:val="00066D7A"/>
    <w:rsid w:val="0006736D"/>
    <w:rsid w:val="000801C0"/>
    <w:rsid w:val="00092AAB"/>
    <w:rsid w:val="000A2FC2"/>
    <w:rsid w:val="000A645B"/>
    <w:rsid w:val="000B3FBC"/>
    <w:rsid w:val="000B5BE8"/>
    <w:rsid w:val="000B707E"/>
    <w:rsid w:val="000C76A6"/>
    <w:rsid w:val="000D7EE6"/>
    <w:rsid w:val="000E2540"/>
    <w:rsid w:val="000F3E2A"/>
    <w:rsid w:val="000F5908"/>
    <w:rsid w:val="000F6AA4"/>
    <w:rsid w:val="0010447A"/>
    <w:rsid w:val="001217D0"/>
    <w:rsid w:val="00122AD2"/>
    <w:rsid w:val="001250C3"/>
    <w:rsid w:val="00127884"/>
    <w:rsid w:val="00145414"/>
    <w:rsid w:val="0015098E"/>
    <w:rsid w:val="00151385"/>
    <w:rsid w:val="00177A74"/>
    <w:rsid w:val="00187FE7"/>
    <w:rsid w:val="001A17E9"/>
    <w:rsid w:val="001A3960"/>
    <w:rsid w:val="001A4BEB"/>
    <w:rsid w:val="001C38BF"/>
    <w:rsid w:val="001F4A66"/>
    <w:rsid w:val="0020781F"/>
    <w:rsid w:val="00235A74"/>
    <w:rsid w:val="00240FEF"/>
    <w:rsid w:val="00243E17"/>
    <w:rsid w:val="0029648B"/>
    <w:rsid w:val="002A383A"/>
    <w:rsid w:val="002A404C"/>
    <w:rsid w:val="002A7F40"/>
    <w:rsid w:val="002C199E"/>
    <w:rsid w:val="002C69FF"/>
    <w:rsid w:val="002E2BAB"/>
    <w:rsid w:val="003104EE"/>
    <w:rsid w:val="0032184F"/>
    <w:rsid w:val="00330CDE"/>
    <w:rsid w:val="00337F78"/>
    <w:rsid w:val="0036179D"/>
    <w:rsid w:val="003624B1"/>
    <w:rsid w:val="003701CE"/>
    <w:rsid w:val="00370A80"/>
    <w:rsid w:val="00371A87"/>
    <w:rsid w:val="003B3A6F"/>
    <w:rsid w:val="003C1256"/>
    <w:rsid w:val="003D2A8A"/>
    <w:rsid w:val="003D764C"/>
    <w:rsid w:val="0041093F"/>
    <w:rsid w:val="00447C33"/>
    <w:rsid w:val="004D5E9E"/>
    <w:rsid w:val="004D7618"/>
    <w:rsid w:val="004F0A07"/>
    <w:rsid w:val="005064DC"/>
    <w:rsid w:val="005222CB"/>
    <w:rsid w:val="0057504F"/>
    <w:rsid w:val="00582FA3"/>
    <w:rsid w:val="00595D46"/>
    <w:rsid w:val="005A6509"/>
    <w:rsid w:val="005F59E5"/>
    <w:rsid w:val="00602E24"/>
    <w:rsid w:val="00605E66"/>
    <w:rsid w:val="0061452A"/>
    <w:rsid w:val="00617D03"/>
    <w:rsid w:val="00622275"/>
    <w:rsid w:val="0062640E"/>
    <w:rsid w:val="00632366"/>
    <w:rsid w:val="00633BAA"/>
    <w:rsid w:val="006508D9"/>
    <w:rsid w:val="00650C11"/>
    <w:rsid w:val="00654400"/>
    <w:rsid w:val="006B07D2"/>
    <w:rsid w:val="006B4C66"/>
    <w:rsid w:val="006D0580"/>
    <w:rsid w:val="006D2EC0"/>
    <w:rsid w:val="006D6FEC"/>
    <w:rsid w:val="006D7709"/>
    <w:rsid w:val="006E6706"/>
    <w:rsid w:val="00705FFC"/>
    <w:rsid w:val="00715A2F"/>
    <w:rsid w:val="0072100E"/>
    <w:rsid w:val="00722F9F"/>
    <w:rsid w:val="00730F90"/>
    <w:rsid w:val="00735291"/>
    <w:rsid w:val="00742DF6"/>
    <w:rsid w:val="00780FD1"/>
    <w:rsid w:val="00785258"/>
    <w:rsid w:val="007873BB"/>
    <w:rsid w:val="00791FFB"/>
    <w:rsid w:val="00793E9C"/>
    <w:rsid w:val="007A212E"/>
    <w:rsid w:val="007A3CEF"/>
    <w:rsid w:val="007A716A"/>
    <w:rsid w:val="007B36B7"/>
    <w:rsid w:val="007C4213"/>
    <w:rsid w:val="007C4C06"/>
    <w:rsid w:val="007D26D0"/>
    <w:rsid w:val="007D3D0C"/>
    <w:rsid w:val="007E1EFC"/>
    <w:rsid w:val="007F1CCB"/>
    <w:rsid w:val="00803758"/>
    <w:rsid w:val="008113A8"/>
    <w:rsid w:val="008113BA"/>
    <w:rsid w:val="008215EB"/>
    <w:rsid w:val="008504D5"/>
    <w:rsid w:val="00870908"/>
    <w:rsid w:val="008762FF"/>
    <w:rsid w:val="00881365"/>
    <w:rsid w:val="00886B2F"/>
    <w:rsid w:val="00890948"/>
    <w:rsid w:val="008A0AA4"/>
    <w:rsid w:val="008B1E50"/>
    <w:rsid w:val="008C5056"/>
    <w:rsid w:val="008D5BB1"/>
    <w:rsid w:val="008F02CA"/>
    <w:rsid w:val="008F4571"/>
    <w:rsid w:val="009121A2"/>
    <w:rsid w:val="009348C5"/>
    <w:rsid w:val="00934BF5"/>
    <w:rsid w:val="00936853"/>
    <w:rsid w:val="00936F84"/>
    <w:rsid w:val="0094317E"/>
    <w:rsid w:val="00955C2C"/>
    <w:rsid w:val="00962562"/>
    <w:rsid w:val="00962813"/>
    <w:rsid w:val="00982005"/>
    <w:rsid w:val="009A0F0B"/>
    <w:rsid w:val="009A3983"/>
    <w:rsid w:val="009B7A91"/>
    <w:rsid w:val="009E1048"/>
    <w:rsid w:val="009E7819"/>
    <w:rsid w:val="009F60EB"/>
    <w:rsid w:val="00A064CA"/>
    <w:rsid w:val="00A1602B"/>
    <w:rsid w:val="00A30EB6"/>
    <w:rsid w:val="00A31D6E"/>
    <w:rsid w:val="00A33236"/>
    <w:rsid w:val="00A34C2F"/>
    <w:rsid w:val="00A64DBB"/>
    <w:rsid w:val="00A91158"/>
    <w:rsid w:val="00AA45AF"/>
    <w:rsid w:val="00AB0F73"/>
    <w:rsid w:val="00AB4F32"/>
    <w:rsid w:val="00AB6A07"/>
    <w:rsid w:val="00AD039A"/>
    <w:rsid w:val="00AD6784"/>
    <w:rsid w:val="00AF23F4"/>
    <w:rsid w:val="00B261D1"/>
    <w:rsid w:val="00B31229"/>
    <w:rsid w:val="00B71CDC"/>
    <w:rsid w:val="00B76F21"/>
    <w:rsid w:val="00B91C6B"/>
    <w:rsid w:val="00BD6495"/>
    <w:rsid w:val="00C0624A"/>
    <w:rsid w:val="00C06342"/>
    <w:rsid w:val="00C11787"/>
    <w:rsid w:val="00C13E4E"/>
    <w:rsid w:val="00C15E3F"/>
    <w:rsid w:val="00C254C6"/>
    <w:rsid w:val="00C31141"/>
    <w:rsid w:val="00C32C65"/>
    <w:rsid w:val="00C337BB"/>
    <w:rsid w:val="00C44E75"/>
    <w:rsid w:val="00C44F3F"/>
    <w:rsid w:val="00C6238B"/>
    <w:rsid w:val="00C66E6E"/>
    <w:rsid w:val="00C80D4B"/>
    <w:rsid w:val="00C97E88"/>
    <w:rsid w:val="00CA157B"/>
    <w:rsid w:val="00CA19F7"/>
    <w:rsid w:val="00CB3ACC"/>
    <w:rsid w:val="00CB69DB"/>
    <w:rsid w:val="00CE0504"/>
    <w:rsid w:val="00CE102F"/>
    <w:rsid w:val="00D03313"/>
    <w:rsid w:val="00D560E3"/>
    <w:rsid w:val="00D63860"/>
    <w:rsid w:val="00D65FC4"/>
    <w:rsid w:val="00DA380F"/>
    <w:rsid w:val="00DB3705"/>
    <w:rsid w:val="00DC46BB"/>
    <w:rsid w:val="00DD277A"/>
    <w:rsid w:val="00DE2C17"/>
    <w:rsid w:val="00E07209"/>
    <w:rsid w:val="00E16CCB"/>
    <w:rsid w:val="00E47295"/>
    <w:rsid w:val="00E646B6"/>
    <w:rsid w:val="00E7370A"/>
    <w:rsid w:val="00EA056B"/>
    <w:rsid w:val="00EB742C"/>
    <w:rsid w:val="00EC2008"/>
    <w:rsid w:val="00EC5EF4"/>
    <w:rsid w:val="00ED2E5B"/>
    <w:rsid w:val="00EF431A"/>
    <w:rsid w:val="00EF484C"/>
    <w:rsid w:val="00F03C7B"/>
    <w:rsid w:val="00F25730"/>
    <w:rsid w:val="00F341E3"/>
    <w:rsid w:val="00F66256"/>
    <w:rsid w:val="00F72EC7"/>
    <w:rsid w:val="00F73EA1"/>
    <w:rsid w:val="00F9128C"/>
    <w:rsid w:val="00F9420B"/>
    <w:rsid w:val="00FA6CBA"/>
    <w:rsid w:val="00FB3A62"/>
    <w:rsid w:val="00FC7226"/>
    <w:rsid w:val="00FD298B"/>
    <w:rsid w:val="00FF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209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13E4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E07209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7D26D0"/>
  </w:style>
  <w:style w:type="character" w:customStyle="1" w:styleId="20">
    <w:name w:val="Заголовок 2 Знак"/>
    <w:basedOn w:val="a0"/>
    <w:link w:val="2"/>
    <w:uiPriority w:val="9"/>
    <w:rsid w:val="00C13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C13E4E"/>
    <w:rPr>
      <w:rFonts w:cs="Times New Roman"/>
    </w:rPr>
  </w:style>
  <w:style w:type="paragraph" w:styleId="a3">
    <w:name w:val="List Paragraph"/>
    <w:basedOn w:val="a"/>
    <w:uiPriority w:val="99"/>
    <w:qFormat/>
    <w:rsid w:val="00C13E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E07209"/>
    <w:pPr>
      <w:spacing w:before="100" w:beforeAutospacing="1" w:after="100" w:afterAutospacing="1"/>
    </w:pPr>
    <w:rPr>
      <w:rFonts w:eastAsia="Times New Roman"/>
    </w:rPr>
  </w:style>
  <w:style w:type="character" w:styleId="a5">
    <w:name w:val="Emphasis"/>
    <w:basedOn w:val="a0"/>
    <w:uiPriority w:val="20"/>
    <w:qFormat/>
    <w:rsid w:val="00E07209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9"/>
    <w:rsid w:val="00E072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E0720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match">
    <w:name w:val="match"/>
    <w:basedOn w:val="a0"/>
    <w:uiPriority w:val="99"/>
    <w:rsid w:val="00E07209"/>
    <w:rPr>
      <w:rFonts w:cs="Times New Roman"/>
    </w:rPr>
  </w:style>
  <w:style w:type="character" w:styleId="a6">
    <w:name w:val="Strong"/>
    <w:basedOn w:val="a0"/>
    <w:uiPriority w:val="99"/>
    <w:qFormat/>
    <w:rsid w:val="008D5BB1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4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0F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0F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2184F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rsid w:val="009B7A9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9B7A91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ae"/>
    <w:rsid w:val="00C6238B"/>
    <w:pPr>
      <w:suppressAutoHyphens/>
      <w:spacing w:after="160" w:line="259" w:lineRule="auto"/>
    </w:pPr>
    <w:rPr>
      <w:rFonts w:ascii="Calibri" w:eastAsia="Calibri" w:hAnsi="Calibri" w:cs="Times New Roman"/>
      <w:sz w:val="24"/>
      <w:lang w:eastAsia="zh-CN"/>
    </w:rPr>
  </w:style>
  <w:style w:type="character" w:customStyle="1" w:styleId="ae">
    <w:name w:val="Без интервала Знак"/>
    <w:link w:val="11"/>
    <w:locked/>
    <w:rsid w:val="00C6238B"/>
    <w:rPr>
      <w:rFonts w:ascii="Calibri" w:eastAsia="Calibri" w:hAnsi="Calibri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A342-E20B-4163-88F5-587C86A6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Zver</cp:lastModifiedBy>
  <cp:revision>78</cp:revision>
  <cp:lastPrinted>2020-01-21T07:40:00Z</cp:lastPrinted>
  <dcterms:created xsi:type="dcterms:W3CDTF">2020-03-30T09:46:00Z</dcterms:created>
  <dcterms:modified xsi:type="dcterms:W3CDTF">2022-12-09T17:56:00Z</dcterms:modified>
</cp:coreProperties>
</file>