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Pr="004C3ACF" w:rsidRDefault="00DA1685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ED72FC">
        <w:t>3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D97905" w:rsidP="00DA1685">
      <w:pPr>
        <w:shd w:val="clear" w:color="auto" w:fill="FFFFFF"/>
        <w:contextualSpacing/>
        <w:jc w:val="both"/>
        <w:rPr>
          <w:b/>
        </w:rPr>
      </w:pPr>
      <w:r w:rsidRPr="00B8422C">
        <w:rPr>
          <w:rFonts w:eastAsia="Arial"/>
          <w:b/>
          <w:shd w:val="clear" w:color="auto" w:fill="FFFFFF"/>
          <w:lang w:eastAsia="ar-SA"/>
        </w:rPr>
        <w:t>ДК 021:2015 ― 42510000-4 Теплообмінники, кондиціонери повітря, холодильне обладнання та фільтрувальні пристрої, номенклатурна позиція ДК 021:2015 ― 42512000-8 Установки для кондиціювання повітря</w:t>
      </w:r>
      <w:r w:rsidR="00DA1685" w:rsidRPr="004C3ACF">
        <w:rPr>
          <w:b/>
        </w:rPr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D97905">
        <w:rPr>
          <w:b/>
        </w:rPr>
        <w:t>32</w:t>
      </w:r>
      <w:bookmarkStart w:id="0" w:name="_GoBack"/>
      <w:bookmarkEnd w:id="0"/>
      <w:r w:rsidR="009B0D7B">
        <w:rPr>
          <w:b/>
        </w:rPr>
        <w:t xml:space="preserve"> шт</w:t>
      </w:r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DA1685" w:rsidRPr="004C3ACF" w:rsidRDefault="00DA1685" w:rsidP="00DA1685">
      <w:pPr>
        <w:jc w:val="both"/>
      </w:pPr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гарантійних зобов’язань на обслуговування Товару становить </w:t>
      </w:r>
      <w:r w:rsidR="00CE32E6">
        <w:rPr>
          <w:b/>
        </w:rPr>
        <w:t xml:space="preserve">не менше </w:t>
      </w:r>
      <w:r w:rsidR="00B11A09">
        <w:rPr>
          <w:b/>
        </w:rPr>
        <w:t>1</w:t>
      </w:r>
      <w:r w:rsidR="00FE6C96">
        <w:rPr>
          <w:b/>
        </w:rPr>
        <w:t>2</w:t>
      </w:r>
      <w:r w:rsidRPr="004C3ACF">
        <w:rPr>
          <w:b/>
        </w:rPr>
        <w:t xml:space="preserve"> місяців</w:t>
      </w:r>
      <w:r w:rsidRPr="004C3ACF">
        <w:t xml:space="preserve"> з дня підписання акту введення в експлуатацію.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2.5.</w:t>
      </w:r>
      <w:r w:rsidRPr="004C3ACF">
        <w:t xml:space="preserve"> Гарантійний строк на Товар продовжується на час, протягом якого Покупець не міг використовувати Товар у зв’язку з обставинами, що залежать від Постачальника, до усунення їх Постачальником. Гарантійний строк, встановлений Договором продовжується на час, протягом якого Товар не міг використовуватися, у зв’язку з виявленими недоліками.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2.6.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2.7.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2.8.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2.9.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2.10.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</w:t>
      </w:r>
      <w:r w:rsidRPr="004C3ACF">
        <w:lastRenderedPageBreak/>
        <w:t xml:space="preserve">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2.11.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DA1685" w:rsidRPr="004C3ACF" w:rsidRDefault="00DA1685" w:rsidP="00DA1685">
      <w:pPr>
        <w:shd w:val="clear" w:color="auto" w:fill="FFFFFF"/>
        <w:jc w:val="both"/>
      </w:pPr>
      <w:r w:rsidRPr="004C3ACF">
        <w:rPr>
          <w:b/>
        </w:rPr>
        <w:t>2.12.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2.13.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2.14.</w:t>
      </w:r>
      <w:r w:rsidRPr="004C3ACF">
        <w:t xml:space="preserve"> Усі витрати у період користування Товаром, що не пов’язані з гарантійним обслуговуванням, несе Покупець.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2.15.</w:t>
      </w:r>
      <w:r w:rsidRPr="004C3ACF">
        <w:t xml:space="preserve"> Сервісне обслуговування Товару здійснюється після закінчення терміну гарантійного строку на Товар, згідно сервісного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3"/>
      <w:r w:rsidRPr="004C3ACF">
        <w:rPr>
          <w:b/>
        </w:rPr>
        <w:t>3. Ціна договору</w:t>
      </w:r>
      <w:bookmarkEnd w:id="1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4"/>
      <w:r w:rsidRPr="004C3ACF">
        <w:rPr>
          <w:b/>
        </w:rPr>
        <w:t>4. Порядок здійснення оплати</w:t>
      </w:r>
      <w:bookmarkEnd w:id="2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3" w:name="bookmark5"/>
      <w:r w:rsidRPr="004C3ACF">
        <w:rPr>
          <w:b/>
        </w:rPr>
        <w:t>5. Поставка товарів</w:t>
      </w:r>
    </w:p>
    <w:bookmarkEnd w:id="3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FA04EC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ED72FC">
        <w:rPr>
          <w:b/>
          <w:lang w:eastAsia="uk-UA" w:bidi="uk-UA"/>
        </w:rPr>
        <w:t>3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4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4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7"/>
      <w:r w:rsidRPr="004C3ACF">
        <w:rPr>
          <w:b/>
        </w:rPr>
        <w:t>6. Права та обов'язки сторін</w:t>
      </w:r>
      <w:bookmarkEnd w:id="5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</w:t>
      </w:r>
      <w:r w:rsidRPr="004C3ACF">
        <w:rPr>
          <w:color w:val="000000"/>
          <w:lang w:eastAsia="uk-UA" w:bidi="uk-UA"/>
        </w:rPr>
        <w:lastRenderedPageBreak/>
        <w:t xml:space="preserve">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8"/>
      <w:r w:rsidRPr="004C3ACF">
        <w:rPr>
          <w:b/>
        </w:rPr>
        <w:t>7. Відповідальність сторін</w:t>
      </w:r>
      <w:bookmarkEnd w:id="6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9"/>
      <w:r w:rsidRPr="004C3ACF">
        <w:rPr>
          <w:b/>
        </w:rPr>
        <w:t>8. Обставини непереборної сили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0"/>
      <w:r w:rsidRPr="004C3ACF">
        <w:rPr>
          <w:b/>
        </w:rPr>
        <w:t>9. Вирішення спорів</w:t>
      </w:r>
      <w:bookmarkEnd w:id="8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9" w:name="bookmark11"/>
      <w:r w:rsidRPr="004C3ACF">
        <w:rPr>
          <w:b/>
        </w:rPr>
        <w:t>10. Строк дії договору</w:t>
      </w:r>
      <w:bookmarkEnd w:id="9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10198F">
        <w:rPr>
          <w:color w:val="000000"/>
          <w:lang w:val="ru-RU" w:eastAsia="uk-UA" w:bidi="uk-UA"/>
        </w:rPr>
        <w:t>3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10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lastRenderedPageBreak/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10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Pr="004C3ACF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2023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D97905" w:rsidRPr="00D97905">
          <w:rPr>
            <w:noProof/>
            <w:sz w:val="16"/>
            <w:szCs w:val="16"/>
            <w:lang w:val="ru-RU"/>
          </w:rPr>
          <w:t>4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C51FA"/>
    <w:rsid w:val="0010198F"/>
    <w:rsid w:val="003E7D42"/>
    <w:rsid w:val="00495234"/>
    <w:rsid w:val="00564211"/>
    <w:rsid w:val="007D12AE"/>
    <w:rsid w:val="009B0D7B"/>
    <w:rsid w:val="00A823E3"/>
    <w:rsid w:val="00A914CD"/>
    <w:rsid w:val="00B11A09"/>
    <w:rsid w:val="00CE32E6"/>
    <w:rsid w:val="00D97905"/>
    <w:rsid w:val="00DA1685"/>
    <w:rsid w:val="00DA5AF0"/>
    <w:rsid w:val="00DE4D03"/>
    <w:rsid w:val="00ED72FC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F5DB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9689</Words>
  <Characters>5523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Болградска ЦРЛ</cp:lastModifiedBy>
  <cp:revision>8</cp:revision>
  <dcterms:created xsi:type="dcterms:W3CDTF">2023-07-04T12:37:00Z</dcterms:created>
  <dcterms:modified xsi:type="dcterms:W3CDTF">2023-12-09T09:58:00Z</dcterms:modified>
</cp:coreProperties>
</file>