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43FB3D2E"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073B37">
        <w:rPr>
          <w:i/>
          <w:color w:val="000000"/>
          <w:lang w:val="uk-UA"/>
        </w:rPr>
        <w:t xml:space="preserve"> </w:t>
      </w:r>
      <w:r w:rsidR="002338F3">
        <w:rPr>
          <w:i/>
          <w:color w:val="000000"/>
          <w:lang w:val="uk-UA"/>
        </w:rPr>
        <w:t>31</w:t>
      </w:r>
      <w:r w:rsidR="005F203D">
        <w:rPr>
          <w:i/>
          <w:color w:val="000000"/>
          <w:lang w:val="uk-UA"/>
        </w:rPr>
        <w:t xml:space="preserve"> </w:t>
      </w:r>
      <w:r w:rsidRPr="00B11474">
        <w:rPr>
          <w:i/>
          <w:color w:val="000000"/>
          <w:lang w:val="uk-UA"/>
        </w:rPr>
        <w:t>від</w:t>
      </w:r>
      <w:r w:rsidR="0027762D">
        <w:rPr>
          <w:i/>
          <w:color w:val="000000"/>
          <w:lang w:val="uk-UA"/>
        </w:rPr>
        <w:t xml:space="preserve"> </w:t>
      </w:r>
      <w:r w:rsidR="002338F3">
        <w:rPr>
          <w:i/>
          <w:color w:val="000000"/>
          <w:lang w:val="uk-UA"/>
        </w:rPr>
        <w:t>19</w:t>
      </w:r>
      <w:r w:rsidR="00D5255C">
        <w:rPr>
          <w:i/>
          <w:color w:val="000000"/>
          <w:lang w:val="uk-UA"/>
        </w:rPr>
        <w:t>.</w:t>
      </w:r>
      <w:r w:rsidR="002338F3">
        <w:rPr>
          <w:i/>
          <w:color w:val="000000"/>
          <w:lang w:val="uk-UA"/>
        </w:rPr>
        <w:t>01</w:t>
      </w:r>
      <w:r w:rsidR="00D5255C">
        <w:rPr>
          <w:i/>
          <w:color w:val="000000"/>
          <w:lang w:val="uk-UA"/>
        </w:rPr>
        <w:t>.</w:t>
      </w:r>
      <w:r w:rsidRPr="00B11474">
        <w:rPr>
          <w:i/>
          <w:color w:val="000000"/>
          <w:lang w:val="uk-UA"/>
        </w:rPr>
        <w:t>202</w:t>
      </w:r>
      <w:r w:rsidR="002338F3">
        <w:rPr>
          <w:i/>
          <w:color w:val="000000"/>
          <w:lang w:val="uk-UA"/>
        </w:rPr>
        <w:t>4</w:t>
      </w:r>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30372F40" w14:textId="6D9D3F36" w:rsidR="0027762D" w:rsidRDefault="0027762D" w:rsidP="0027762D">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11DBC33F" w14:textId="5C1059FE" w:rsidR="007B523A" w:rsidRPr="00335312" w:rsidRDefault="006B38A3" w:rsidP="00335312">
      <w:pPr>
        <w:jc w:val="center"/>
        <w:rPr>
          <w:i/>
          <w:color w:val="000000"/>
          <w:sz w:val="22"/>
          <w:szCs w:val="22"/>
          <w:lang w:val="uk-UA"/>
        </w:rPr>
      </w:pPr>
      <w:r w:rsidRPr="0098606D">
        <w:rPr>
          <w:i/>
          <w:color w:val="000000"/>
          <w:sz w:val="22"/>
          <w:szCs w:val="22"/>
          <w:lang w:val="uk-UA"/>
        </w:rPr>
        <w:t xml:space="preserve">за ДК 021-2015 </w:t>
      </w:r>
      <w:r w:rsidRPr="0027762D">
        <w:rPr>
          <w:i/>
          <w:color w:val="000000"/>
          <w:sz w:val="22"/>
          <w:szCs w:val="22"/>
          <w:lang w:val="uk-UA"/>
        </w:rPr>
        <w:t xml:space="preserve">код </w:t>
      </w:r>
      <w:r w:rsidR="00335312" w:rsidRPr="00335312">
        <w:rPr>
          <w:i/>
          <w:color w:val="000000"/>
          <w:sz w:val="22"/>
          <w:szCs w:val="22"/>
          <w:lang w:val="uk-UA"/>
        </w:rPr>
        <w:t>33120000-7 Системи реєстрації медичної інформації та дослідне обладнання (Медична вимірювальна стрічка; Ліхтарик медичний діагностичний; Молоточок неврологічний; Пікфлуометр; Апарат Ротта (освітлювач таблиць для перевірки зору Пульсоксиметр на батарейках (для дорослих); Пульсоксиметр на батарейках (для дітей); Набір з отоскопа і офтальмоскопа діагностичний; Ростомір (настінний), Стетоскоп акушерський)</w:t>
      </w:r>
    </w:p>
    <w:p w14:paraId="04666B45" w14:textId="77777777" w:rsidR="00B11474" w:rsidRDefault="00B11474" w:rsidP="0041037D">
      <w:pPr>
        <w:jc w:val="center"/>
        <w:outlineLvl w:val="0"/>
        <w:rPr>
          <w:i/>
          <w:color w:val="000000"/>
          <w:sz w:val="22"/>
          <w:szCs w:val="22"/>
          <w:lang w:val="uk-UA"/>
        </w:rPr>
      </w:pPr>
    </w:p>
    <w:p w14:paraId="4254711E" w14:textId="77777777" w:rsidR="00820079" w:rsidRDefault="00820079" w:rsidP="0041037D">
      <w:pPr>
        <w:jc w:val="center"/>
        <w:outlineLvl w:val="0"/>
        <w:rPr>
          <w:i/>
          <w:color w:val="000000"/>
          <w:sz w:val="22"/>
          <w:szCs w:val="22"/>
          <w:lang w:val="uk-UA"/>
        </w:rPr>
      </w:pPr>
    </w:p>
    <w:p w14:paraId="2E5AF66A" w14:textId="77777777" w:rsidR="0027762D" w:rsidRDefault="0027762D" w:rsidP="0041037D">
      <w:pPr>
        <w:jc w:val="center"/>
        <w:outlineLvl w:val="0"/>
        <w:rPr>
          <w:i/>
          <w:color w:val="000000"/>
          <w:sz w:val="22"/>
          <w:szCs w:val="22"/>
          <w:lang w:val="uk-UA"/>
        </w:rPr>
      </w:pPr>
    </w:p>
    <w:p w14:paraId="72AC1087" w14:textId="77777777" w:rsidR="0027762D" w:rsidRDefault="0027762D" w:rsidP="0041037D">
      <w:pPr>
        <w:jc w:val="center"/>
        <w:outlineLvl w:val="0"/>
        <w:rPr>
          <w:i/>
          <w:color w:val="000000"/>
          <w:sz w:val="22"/>
          <w:szCs w:val="22"/>
          <w:lang w:val="uk-UA"/>
        </w:rPr>
      </w:pPr>
    </w:p>
    <w:p w14:paraId="4E030AF2" w14:textId="77777777" w:rsidR="0027762D" w:rsidRDefault="0027762D" w:rsidP="0041037D">
      <w:pPr>
        <w:jc w:val="center"/>
        <w:outlineLvl w:val="0"/>
        <w:rPr>
          <w:i/>
          <w:color w:val="000000"/>
          <w:sz w:val="22"/>
          <w:szCs w:val="22"/>
          <w:lang w:val="uk-UA"/>
        </w:rPr>
      </w:pPr>
    </w:p>
    <w:p w14:paraId="43BFCD63" w14:textId="77777777" w:rsidR="0027762D" w:rsidRDefault="0027762D"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56211DE" w14:textId="77777777" w:rsidR="00A55339" w:rsidRDefault="00A55339" w:rsidP="0041037D">
      <w:pPr>
        <w:jc w:val="center"/>
        <w:outlineLvl w:val="0"/>
        <w:rPr>
          <w:i/>
          <w:color w:val="000000"/>
          <w:sz w:val="22"/>
          <w:szCs w:val="22"/>
          <w:lang w:val="uk-UA"/>
        </w:rPr>
      </w:pPr>
    </w:p>
    <w:p w14:paraId="6E543442" w14:textId="77777777" w:rsidR="00A55339" w:rsidRDefault="00A55339" w:rsidP="0041037D">
      <w:pPr>
        <w:jc w:val="center"/>
        <w:outlineLvl w:val="0"/>
        <w:rPr>
          <w:i/>
          <w:color w:val="000000"/>
          <w:sz w:val="22"/>
          <w:szCs w:val="22"/>
          <w:lang w:val="uk-UA"/>
        </w:rPr>
      </w:pPr>
    </w:p>
    <w:p w14:paraId="2F65B42D" w14:textId="77777777" w:rsidR="00A55339" w:rsidRDefault="00A55339" w:rsidP="0041037D">
      <w:pPr>
        <w:jc w:val="center"/>
        <w:outlineLvl w:val="0"/>
        <w:rPr>
          <w:i/>
          <w:color w:val="000000"/>
          <w:sz w:val="22"/>
          <w:szCs w:val="22"/>
          <w:lang w:val="uk-UA"/>
        </w:rPr>
      </w:pPr>
    </w:p>
    <w:p w14:paraId="6BBDE0E9" w14:textId="77777777" w:rsidR="00A55339" w:rsidRDefault="00A55339" w:rsidP="0041037D">
      <w:pPr>
        <w:jc w:val="center"/>
        <w:outlineLvl w:val="0"/>
        <w:rPr>
          <w:i/>
          <w:color w:val="000000"/>
          <w:sz w:val="22"/>
          <w:szCs w:val="22"/>
          <w:lang w:val="uk-UA"/>
        </w:rPr>
      </w:pPr>
    </w:p>
    <w:p w14:paraId="4A6BAD2F" w14:textId="77777777" w:rsidR="00961DDE" w:rsidRDefault="00961DDE" w:rsidP="0027762D">
      <w:pPr>
        <w:jc w:val="center"/>
        <w:outlineLvl w:val="0"/>
        <w:rPr>
          <w:b/>
          <w:i/>
          <w:lang w:val="uk-UA"/>
        </w:rPr>
      </w:pPr>
    </w:p>
    <w:p w14:paraId="1FDFBFB7" w14:textId="77777777" w:rsidR="00961DDE" w:rsidRDefault="00961DDE" w:rsidP="0027762D">
      <w:pPr>
        <w:jc w:val="center"/>
        <w:outlineLvl w:val="0"/>
        <w:rPr>
          <w:b/>
          <w:i/>
          <w:lang w:val="uk-UA"/>
        </w:rPr>
      </w:pPr>
    </w:p>
    <w:p w14:paraId="65CA8893" w14:textId="77777777" w:rsidR="00961DDE" w:rsidRDefault="00961DDE" w:rsidP="0027762D">
      <w:pPr>
        <w:jc w:val="center"/>
        <w:outlineLvl w:val="0"/>
        <w:rPr>
          <w:b/>
          <w:i/>
          <w:lang w:val="uk-UA"/>
        </w:rPr>
      </w:pPr>
    </w:p>
    <w:p w14:paraId="25E658FA" w14:textId="77777777" w:rsidR="00961DDE" w:rsidRDefault="00961DDE" w:rsidP="0027762D">
      <w:pPr>
        <w:jc w:val="center"/>
        <w:outlineLvl w:val="0"/>
        <w:rPr>
          <w:b/>
          <w:i/>
          <w:lang w:val="uk-UA"/>
        </w:rPr>
      </w:pPr>
    </w:p>
    <w:p w14:paraId="10F0460A" w14:textId="77777777" w:rsidR="00961DDE" w:rsidRDefault="00961DDE" w:rsidP="0027762D">
      <w:pPr>
        <w:jc w:val="center"/>
        <w:outlineLvl w:val="0"/>
        <w:rPr>
          <w:b/>
          <w:i/>
          <w:lang w:val="uk-UA"/>
        </w:rPr>
      </w:pPr>
    </w:p>
    <w:p w14:paraId="6CBBB197" w14:textId="77777777" w:rsidR="00961DDE" w:rsidRDefault="00961DDE" w:rsidP="0027762D">
      <w:pPr>
        <w:jc w:val="center"/>
        <w:outlineLvl w:val="0"/>
        <w:rPr>
          <w:b/>
          <w:i/>
          <w:lang w:val="uk-UA"/>
        </w:rPr>
      </w:pPr>
    </w:p>
    <w:p w14:paraId="7798E464" w14:textId="77777777" w:rsidR="00961DDE" w:rsidRDefault="00961DDE" w:rsidP="0027762D">
      <w:pPr>
        <w:jc w:val="center"/>
        <w:outlineLvl w:val="0"/>
        <w:rPr>
          <w:b/>
          <w:i/>
          <w:lang w:val="uk-UA"/>
        </w:rPr>
      </w:pPr>
    </w:p>
    <w:p w14:paraId="5B986D34" w14:textId="77777777" w:rsidR="00640330" w:rsidRDefault="00640330" w:rsidP="0027762D">
      <w:pPr>
        <w:jc w:val="center"/>
        <w:outlineLvl w:val="0"/>
        <w:rPr>
          <w:b/>
          <w:i/>
          <w:lang w:val="uk-UA"/>
        </w:rPr>
      </w:pPr>
    </w:p>
    <w:p w14:paraId="01A23D3F" w14:textId="77777777" w:rsidR="00640330" w:rsidRDefault="00640330" w:rsidP="0027762D">
      <w:pPr>
        <w:jc w:val="center"/>
        <w:outlineLvl w:val="0"/>
        <w:rPr>
          <w:b/>
          <w:i/>
          <w:lang w:val="uk-UA"/>
        </w:rPr>
      </w:pPr>
    </w:p>
    <w:p w14:paraId="4814517C" w14:textId="77777777" w:rsidR="00640330" w:rsidRDefault="00640330" w:rsidP="0027762D">
      <w:pPr>
        <w:jc w:val="center"/>
        <w:outlineLvl w:val="0"/>
        <w:rPr>
          <w:b/>
          <w:i/>
          <w:lang w:val="uk-UA"/>
        </w:rPr>
      </w:pPr>
    </w:p>
    <w:p w14:paraId="2566BF59" w14:textId="77777777" w:rsidR="00640330" w:rsidRDefault="00640330" w:rsidP="0027762D">
      <w:pPr>
        <w:jc w:val="center"/>
        <w:outlineLvl w:val="0"/>
        <w:rPr>
          <w:b/>
          <w:i/>
          <w:lang w:val="uk-UA"/>
        </w:rPr>
      </w:pPr>
    </w:p>
    <w:p w14:paraId="1D9ACBAC" w14:textId="398FDAC3" w:rsidR="00A73E1F" w:rsidRPr="0027762D" w:rsidRDefault="00A73E1F" w:rsidP="0027762D">
      <w:pPr>
        <w:jc w:val="center"/>
        <w:outlineLvl w:val="0"/>
        <w:rPr>
          <w:i/>
          <w:color w:val="000000"/>
          <w:sz w:val="36"/>
          <w:szCs w:val="36"/>
          <w:lang w:val="uk-UA"/>
        </w:rPr>
      </w:pPr>
      <w:r w:rsidRPr="0082742A">
        <w:rPr>
          <w:b/>
          <w:i/>
          <w:lang w:val="uk-UA"/>
        </w:rPr>
        <w:t xml:space="preserve">Процедура закупівлі – відкриті торги </w:t>
      </w:r>
      <w:r w:rsidR="0027762D" w:rsidRPr="0027762D">
        <w:rPr>
          <w:rFonts w:ascii="Arial" w:hAnsi="Arial" w:cs="Arial"/>
          <w:i/>
          <w:color w:val="000000"/>
          <w:sz w:val="18"/>
          <w:szCs w:val="18"/>
          <w:shd w:val="clear" w:color="auto" w:fill="FDFEFD"/>
          <w:lang w:val="uk-UA"/>
        </w:rPr>
        <w:t>з особливостями</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553CF163" w14:textId="50F03E01" w:rsidR="00C06FA7" w:rsidRDefault="0014762F" w:rsidP="00640330">
      <w:pPr>
        <w:jc w:val="center"/>
        <w:outlineLvl w:val="0"/>
        <w:rPr>
          <w:i/>
          <w:color w:val="000000"/>
          <w:sz w:val="22"/>
          <w:szCs w:val="22"/>
          <w:lang w:val="uk-UA"/>
        </w:rPr>
      </w:pPr>
      <w:r>
        <w:rPr>
          <w:i/>
          <w:color w:val="000000"/>
          <w:sz w:val="22"/>
          <w:szCs w:val="22"/>
          <w:lang w:val="uk-UA"/>
        </w:rPr>
        <w:t>202</w:t>
      </w:r>
      <w:r w:rsidR="0054635E">
        <w:rPr>
          <w:i/>
          <w:color w:val="000000"/>
          <w:sz w:val="22"/>
          <w:szCs w:val="22"/>
          <w:lang w:val="uk-UA"/>
        </w:rPr>
        <w:t>4</w:t>
      </w:r>
      <w:r>
        <w:rPr>
          <w:i/>
          <w:color w:val="000000"/>
          <w:sz w:val="22"/>
          <w:szCs w:val="22"/>
          <w:lang w:val="uk-UA"/>
        </w:rPr>
        <w:t xml:space="preserve"> рік</w:t>
      </w: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lastRenderedPageBreak/>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2338F3"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4414F3DC" w14:textId="0F2FC905" w:rsidR="003A65AB" w:rsidRPr="003A65AB" w:rsidRDefault="00E77D0C" w:rsidP="00E77D0C">
            <w:pPr>
              <w:rPr>
                <w:iCs/>
                <w:sz w:val="23"/>
                <w:szCs w:val="23"/>
                <w:lang w:val="uk-UA"/>
              </w:rPr>
            </w:pPr>
            <w:r w:rsidRPr="002E19F0">
              <w:rPr>
                <w:i/>
                <w:iCs/>
                <w:sz w:val="23"/>
                <w:szCs w:val="23"/>
                <w:lang w:val="uk-UA"/>
              </w:rPr>
              <w:t xml:space="preserve">Додаток </w:t>
            </w:r>
            <w:r w:rsidR="00730BE8">
              <w:rPr>
                <w:i/>
                <w:iCs/>
                <w:sz w:val="23"/>
                <w:szCs w:val="23"/>
                <w:lang w:val="uk-UA"/>
              </w:rPr>
              <w:t>4</w:t>
            </w:r>
            <w:r w:rsidR="003A65AB" w:rsidRPr="00CA0DA4">
              <w:rPr>
                <w:iCs/>
                <w:sz w:val="23"/>
                <w:szCs w:val="23"/>
                <w:lang w:val="uk-UA"/>
              </w:rPr>
              <w:t xml:space="preserve"> </w:t>
            </w:r>
            <w:r w:rsidR="00CA0DA4">
              <w:rPr>
                <w:iCs/>
                <w:sz w:val="23"/>
                <w:szCs w:val="23"/>
                <w:lang w:val="uk-UA"/>
              </w:rPr>
              <w:t>К</w:t>
            </w:r>
            <w:r w:rsidR="00CA0DA4" w:rsidRPr="00CA0DA4">
              <w:rPr>
                <w:iCs/>
                <w:sz w:val="23"/>
                <w:szCs w:val="23"/>
                <w:lang w:val="uk-UA"/>
              </w:rPr>
              <w:t>валіфікаційні вимоги</w:t>
            </w:r>
          </w:p>
          <w:p w14:paraId="192882FF" w14:textId="1B244DD5" w:rsidR="00E77D0C" w:rsidRPr="002E19F0" w:rsidRDefault="003A65AB" w:rsidP="003A65AB">
            <w:pPr>
              <w:rPr>
                <w:i/>
                <w:iCs/>
                <w:sz w:val="23"/>
                <w:szCs w:val="23"/>
                <w:lang w:val="uk-UA"/>
              </w:rPr>
            </w:pPr>
            <w:r w:rsidRPr="002E19F0">
              <w:rPr>
                <w:i/>
                <w:iCs/>
                <w:sz w:val="23"/>
                <w:szCs w:val="23"/>
                <w:lang w:val="uk-UA"/>
              </w:rPr>
              <w:t xml:space="preserve">Додаток </w:t>
            </w:r>
            <w:r w:rsidR="00730BE8">
              <w:rPr>
                <w:i/>
                <w:iCs/>
                <w:sz w:val="23"/>
                <w:szCs w:val="23"/>
                <w:lang w:val="uk-UA"/>
              </w:rPr>
              <w:t>5</w:t>
            </w:r>
            <w:r>
              <w:rPr>
                <w:i/>
                <w:iCs/>
                <w:sz w:val="23"/>
                <w:szCs w:val="23"/>
                <w:lang w:val="uk-UA"/>
              </w:rPr>
              <w:t xml:space="preserve"> </w:t>
            </w:r>
            <w:r w:rsidR="00E77D0C" w:rsidRPr="005B722F">
              <w:rPr>
                <w:iCs/>
                <w:sz w:val="23"/>
                <w:szCs w:val="23"/>
                <w:lang w:val="uk-UA"/>
              </w:rPr>
              <w:t>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6FA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5F78520C" w14:textId="559C945C" w:rsidR="000711A3" w:rsidRPr="00C06FA7" w:rsidRDefault="001E512C" w:rsidP="0054635E">
            <w:pPr>
              <w:outlineLvl w:val="0"/>
              <w:rPr>
                <w:i/>
              </w:rPr>
            </w:pPr>
            <w:r w:rsidRPr="0098606D">
              <w:rPr>
                <w:i/>
                <w:color w:val="000000"/>
                <w:sz w:val="22"/>
                <w:szCs w:val="22"/>
                <w:lang w:val="uk-UA"/>
              </w:rPr>
              <w:t xml:space="preserve">за ДК 021-2015 </w:t>
            </w:r>
            <w:r w:rsidR="00335312" w:rsidRPr="00335312">
              <w:rPr>
                <w:i/>
                <w:color w:val="000000"/>
                <w:sz w:val="22"/>
                <w:szCs w:val="22"/>
                <w:lang w:val="uk-UA"/>
              </w:rPr>
              <w:t>33120000-7 Системи реєстрації медичної інформації та дослідне обладнання (Медична вимірювальна стрічка; Ліхтарик медичний діагностичний; Молоточок неврологічний; Пікфлуометр; Апарат Ротта (освітлювач таблиць для перевірки зору Пульсоксиметр на батарейках (для дорослих); Пульсоксиметр на батарейках (для дітей); Набір з отоскопа і офтальмоскопа діагностичний; Ростомір (настінний), Стетоскоп акушерський)</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2338F3"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0977ADA3"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грудня 202</w:t>
            </w:r>
            <w:r w:rsidR="00E312CE">
              <w:rPr>
                <w:sz w:val="23"/>
                <w:szCs w:val="23"/>
                <w:lang w:val="uk-UA"/>
              </w:rPr>
              <w:t>4</w:t>
            </w:r>
            <w:r w:rsidRPr="00C0758C">
              <w:rPr>
                <w:sz w:val="23"/>
                <w:szCs w:val="23"/>
                <w:lang w:val="uk-UA"/>
              </w:rPr>
              <w:t xml:space="preserve"> року </w:t>
            </w:r>
          </w:p>
          <w:p w14:paraId="5B58F542" w14:textId="674EC3C5"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у відповідності з накладними на основі замовлень Замовника. </w:t>
            </w:r>
          </w:p>
          <w:p w14:paraId="7EC5B991" w14:textId="467DA34F" w:rsidR="00986077" w:rsidRPr="00C0758C" w:rsidRDefault="00986077" w:rsidP="00986077">
            <w:pPr>
              <w:tabs>
                <w:tab w:val="right" w:pos="8505"/>
              </w:tabs>
              <w:jc w:val="both"/>
              <w:rPr>
                <w:sz w:val="23"/>
                <w:szCs w:val="23"/>
                <w:lang w:val="uk-UA"/>
              </w:rPr>
            </w:pPr>
            <w:r w:rsidRPr="00C0758C">
              <w:rPr>
                <w:sz w:val="23"/>
                <w:szCs w:val="23"/>
                <w:lang w:val="uk-UA"/>
              </w:rPr>
              <w:t>4.4.3</w:t>
            </w:r>
            <w:r w:rsidR="00A7748F">
              <w:rPr>
                <w:sz w:val="23"/>
                <w:szCs w:val="23"/>
                <w:lang w:val="uk-UA"/>
              </w:rPr>
              <w:t xml:space="preserve">. </w:t>
            </w:r>
            <w:r w:rsidRPr="00C0758C">
              <w:rPr>
                <w:sz w:val="23"/>
                <w:szCs w:val="23"/>
                <w:lang w:val="uk-UA"/>
              </w:rPr>
              <w:t xml:space="preserve">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62BA277" w14:textId="17F37BA4" w:rsidR="000711A3" w:rsidRPr="00C0758C" w:rsidRDefault="00986077" w:rsidP="00986077">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C06FA7">
              <w:rPr>
                <w:sz w:val="23"/>
                <w:szCs w:val="23"/>
                <w:lang w:val="uk-UA"/>
              </w:rPr>
              <w:t>5</w:t>
            </w:r>
            <w:r w:rsidRPr="00C0758C">
              <w:rPr>
                <w:sz w:val="23"/>
                <w:szCs w:val="23"/>
                <w:lang w:val="uk-UA"/>
              </w:rPr>
              <w:t xml:space="preserve"> </w:t>
            </w:r>
            <w:r>
              <w:rPr>
                <w:sz w:val="23"/>
                <w:szCs w:val="23"/>
                <w:lang w:val="uk-UA"/>
              </w:rPr>
              <w:t>рабочіх</w:t>
            </w:r>
            <w:r w:rsidRPr="00C0758C">
              <w:rPr>
                <w:sz w:val="23"/>
                <w:szCs w:val="23"/>
                <w:lang w:val="uk-UA"/>
              </w:rPr>
              <w:t xml:space="preserve"> днів з моменту надходження замовлення від Замовника.</w:t>
            </w:r>
          </w:p>
        </w:tc>
      </w:tr>
      <w:tr w:rsidR="000711A3" w:rsidRPr="002338F3"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FA4CBA8" w14:textId="6FE5ED93" w:rsidR="000711A3" w:rsidRPr="00523E8F" w:rsidRDefault="00523E8F" w:rsidP="00CF142F">
            <w:pPr>
              <w:widowControl w:val="0"/>
              <w:pBdr>
                <w:top w:val="nil"/>
                <w:left w:val="nil"/>
                <w:bottom w:val="nil"/>
                <w:right w:val="nil"/>
                <w:between w:val="nil"/>
              </w:pBdr>
              <w:ind w:hanging="23"/>
              <w:jc w:val="both"/>
              <w:rPr>
                <w:color w:val="000000"/>
                <w:sz w:val="23"/>
                <w:szCs w:val="23"/>
                <w:lang w:val="uk-UA"/>
              </w:rPr>
            </w:pPr>
            <w:r w:rsidRPr="0082742A">
              <w:rPr>
                <w:lang w:val="uk-UA" w:eastAsia="uk-UA"/>
              </w:rPr>
              <w:t xml:space="preserve">Поряд з тим, враховуючи положення Особливостей, встановлено, що замовникам </w:t>
            </w:r>
            <w:r w:rsidR="00CF142F" w:rsidRPr="00CF142F">
              <w:rPr>
                <w:lang w:val="uk-UA" w:eastAsia="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5"/>
            <w:bookmarkStart w:id="1" w:name="n336"/>
            <w:bookmarkEnd w:id="0"/>
            <w:bookmarkEnd w:id="1"/>
            <w:r w:rsidR="00CF142F" w:rsidRPr="00CF142F">
              <w:rPr>
                <w:lang w:val="uk-UA"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CF142F">
              <w:rPr>
                <w:lang w:val="uk-UA" w:eastAsia="uk-UA"/>
              </w:rPr>
              <w:t xml:space="preserve">и </w:t>
            </w:r>
            <w:r w:rsidR="00CF142F" w:rsidRPr="002A7ED4">
              <w:rPr>
                <w:lang w:val="uk-UA"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42F">
              <w:rPr>
                <w:lang w:val="uk-UA" w:eastAsia="zh-CN"/>
              </w:rPr>
              <w:t xml:space="preserve"> зі змінами</w:t>
            </w:r>
            <w:r w:rsidR="00CF142F" w:rsidRPr="00CF142F">
              <w:rPr>
                <w:lang w:val="uk-UA" w:eastAsia="uk-UA"/>
              </w:rPr>
              <w:t>.</w:t>
            </w:r>
          </w:p>
        </w:tc>
      </w:tr>
      <w:tr w:rsidR="000711A3" w:rsidRPr="002338F3"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w:t>
            </w:r>
            <w:r w:rsidRPr="00C0758C">
              <w:rPr>
                <w:color w:val="000000"/>
                <w:sz w:val="23"/>
                <w:szCs w:val="23"/>
              </w:rPr>
              <w:lastRenderedPageBreak/>
              <w:t>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2338F3"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2" w:name="n433"/>
            <w:bookmarkEnd w:id="2"/>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2338F3"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54EF0D47" w:rsidR="007F53DA" w:rsidRPr="00C0758C" w:rsidRDefault="007F53DA" w:rsidP="007F53DA">
            <w:pPr>
              <w:pStyle w:val="aff2"/>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w:t>
            </w:r>
            <w:r w:rsidR="001903AF">
              <w:rPr>
                <w:sz w:val="23"/>
                <w:szCs w:val="23"/>
                <w:lang w:val="uk-UA"/>
              </w:rPr>
              <w:t xml:space="preserve">, </w:t>
            </w:r>
            <w:r w:rsidR="001903AF" w:rsidRPr="007A75D9">
              <w:rPr>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1903AF">
              <w:rPr>
                <w:lang w:val="uk-UA"/>
              </w:rPr>
              <w:t>ав, установлених у пункті 47 О</w:t>
            </w:r>
            <w:r w:rsidR="001903AF" w:rsidRPr="007A75D9">
              <w:rPr>
                <w:lang w:val="uk-UA"/>
              </w:rPr>
              <w:t>собливостей і в тендерній документації,</w:t>
            </w:r>
            <w:r w:rsidRPr="00C0758C">
              <w:rPr>
                <w:sz w:val="23"/>
                <w:szCs w:val="23"/>
                <w:lang w:val="uk-UA"/>
              </w:rPr>
              <w:t xml:space="preserve"> та завантаження файлів з:</w:t>
            </w:r>
          </w:p>
          <w:p w14:paraId="6730846D" w14:textId="78824F7D" w:rsidR="007F53DA" w:rsidRPr="00C0758C" w:rsidRDefault="007F53DA" w:rsidP="007F53DA">
            <w:pPr>
              <w:pStyle w:val="aff2"/>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3529D11D"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001903AF">
              <w:rPr>
                <w:lang w:val="uk-UA"/>
              </w:rPr>
              <w:t>пункті 47 О</w:t>
            </w:r>
            <w:r w:rsidR="001903AF" w:rsidRPr="007A75D9">
              <w:rPr>
                <w:lang w:val="uk-UA"/>
              </w:rPr>
              <w:t>собливостей</w:t>
            </w:r>
            <w:r w:rsidR="008A4808">
              <w:rPr>
                <w:lang w:val="uk-UA"/>
              </w:rPr>
              <w:t xml:space="preserve"> </w:t>
            </w:r>
            <w:r w:rsidR="008A4808" w:rsidRPr="007F235E">
              <w:rPr>
                <w:b/>
                <w:i/>
              </w:rPr>
              <w:t>згідно</w:t>
            </w:r>
            <w:r w:rsidR="008A4808" w:rsidRPr="007F235E">
              <w:t xml:space="preserve"> з </w:t>
            </w:r>
            <w:r w:rsidR="008A4808" w:rsidRPr="007F235E">
              <w:rPr>
                <w:b/>
                <w:i/>
              </w:rPr>
              <w:t xml:space="preserve">Додатком </w:t>
            </w:r>
            <w:r w:rsidR="008A4808">
              <w:rPr>
                <w:b/>
                <w:i/>
                <w:lang w:val="uk-UA"/>
              </w:rPr>
              <w:t>4</w:t>
            </w:r>
            <w:r w:rsidR="008A4808" w:rsidRPr="007F235E">
              <w:t xml:space="preserve"> до цієї тендерної документації;</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lastRenderedPageBreak/>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-копією паспорту та довідки про присвоєння ідентифікаційного коду -для фізичних осіб (для іноземного учасника - завірений переклад витягу з торгового реєстру, тощо);</w:t>
            </w:r>
          </w:p>
          <w:p w14:paraId="19527F99" w14:textId="566860ED" w:rsidR="00AA0425" w:rsidRPr="00AA0425" w:rsidRDefault="007836CD" w:rsidP="00AA0425">
            <w:pPr>
              <w:pStyle w:val="a7"/>
              <w:tabs>
                <w:tab w:val="left" w:pos="345"/>
                <w:tab w:val="left" w:pos="851"/>
              </w:tabs>
              <w:suppressAutoHyphens/>
              <w:autoSpaceDE/>
              <w:autoSpaceDN/>
              <w:adjustRightInd/>
              <w:ind w:left="0"/>
              <w:jc w:val="both"/>
              <w:rPr>
                <w:color w:val="000000"/>
                <w:sz w:val="23"/>
                <w:szCs w:val="23"/>
                <w:lang w:val="ru-RU"/>
              </w:rPr>
            </w:pPr>
            <w:r w:rsidRPr="00292B77">
              <w:rPr>
                <w:color w:val="000000"/>
                <w:sz w:val="23"/>
                <w:szCs w:val="23"/>
              </w:rPr>
              <w:t>-</w:t>
            </w:r>
            <w:r w:rsidR="00AA0425">
              <w:t xml:space="preserve"> </w:t>
            </w:r>
            <w:r w:rsidR="00AA0425" w:rsidRPr="00AA0425">
              <w:rPr>
                <w:color w:val="000000"/>
                <w:sz w:val="23"/>
                <w:szCs w:val="23"/>
                <w:lang w:val="ru-RU"/>
              </w:rPr>
              <w:t>свідоцтво про реєстрацію платника ПДВ, та/або витяг з реєстру платників ПДВ, або свідоцтво платника єдиного податку, та/або витяг з ре</w:t>
            </w:r>
            <w:r w:rsidR="00AA0425">
              <w:rPr>
                <w:color w:val="000000"/>
                <w:sz w:val="23"/>
                <w:szCs w:val="23"/>
                <w:lang w:val="ru-RU"/>
              </w:rPr>
              <w:t>єстру платників єдиного податку;</w:t>
            </w:r>
          </w:p>
          <w:p w14:paraId="0BDF444D" w14:textId="2B73558A" w:rsidR="00AA0425" w:rsidRPr="00AA0425" w:rsidRDefault="007F53DA"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xml:space="preserve">- лист-згоду щодо дозволу на обробку персональних даних (Додаток </w:t>
            </w:r>
            <w:r w:rsidR="00730BE8">
              <w:rPr>
                <w:color w:val="000000"/>
                <w:sz w:val="23"/>
                <w:szCs w:val="23"/>
                <w:lang w:val="uk-UA"/>
              </w:rPr>
              <w:t>5</w:t>
            </w:r>
            <w:r w:rsidRPr="00AA0425">
              <w:rPr>
                <w:color w:val="000000"/>
                <w:sz w:val="23"/>
                <w:szCs w:val="23"/>
              </w:rPr>
              <w:t>);</w:t>
            </w:r>
          </w:p>
          <w:p w14:paraId="6C540005" w14:textId="7FD73FD1" w:rsidR="00AA0425" w:rsidRPr="00AA0425" w:rsidRDefault="00AA0425"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w:t>
            </w:r>
            <w:r>
              <w:rPr>
                <w:color w:val="000000"/>
                <w:sz w:val="23"/>
                <w:szCs w:val="23"/>
              </w:rPr>
              <w:t>наченням відповідних відомостей;</w:t>
            </w:r>
          </w:p>
          <w:p w14:paraId="7DFA68C6" w14:textId="77777777" w:rsidR="007F53DA" w:rsidRPr="00AA0425" w:rsidRDefault="007F53DA" w:rsidP="007F53DA">
            <w:pPr>
              <w:jc w:val="both"/>
              <w:rPr>
                <w:color w:val="000000"/>
                <w:sz w:val="23"/>
                <w:szCs w:val="23"/>
              </w:rPr>
            </w:pPr>
            <w:r w:rsidRPr="00AA0425">
              <w:rPr>
                <w:color w:val="000000"/>
                <w:sz w:val="23"/>
                <w:szCs w:val="23"/>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AA0425">
              <w:rPr>
                <w:rFonts w:ascii="Times New Roman" w:eastAsia="Times New Roman" w:hAnsi="Times New Roman"/>
                <w:sz w:val="23"/>
                <w:szCs w:val="23"/>
                <w:lang w:eastAsia="ru-RU"/>
              </w:rPr>
              <w:t>- інформацією у вигляді довідки в довільній формі, що містить погодження учасника щодо укладення договору про</w:t>
            </w:r>
            <w:r w:rsidRPr="00C0758C">
              <w:rPr>
                <w:rFonts w:ascii="Times New Roman" w:eastAsia="Times New Roman" w:hAnsi="Times New Roman"/>
                <w:color w:val="auto"/>
                <w:sz w:val="23"/>
                <w:szCs w:val="23"/>
                <w:lang w:val="uk-UA"/>
              </w:rPr>
              <w:t xml:space="preserve">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C0758C">
              <w:rPr>
                <w:color w:val="000000"/>
                <w:sz w:val="23"/>
                <w:szCs w:val="23"/>
              </w:rPr>
              <w:lastRenderedPageBreak/>
              <w:t>повноваження посадової (службової) особи учасника, що підписала від імені 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2338F3"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5EB5718D" w14:textId="7F792C48" w:rsidR="00300065" w:rsidRPr="00300065" w:rsidRDefault="00300065" w:rsidP="00300065">
            <w:pPr>
              <w:rPr>
                <w:b/>
                <w:color w:val="000000"/>
                <w:sz w:val="23"/>
                <w:szCs w:val="23"/>
              </w:rPr>
            </w:pPr>
            <w:r w:rsidRPr="00300065">
              <w:rPr>
                <w:b/>
                <w:color w:val="000000"/>
                <w:sz w:val="23"/>
                <w:szCs w:val="23"/>
              </w:rPr>
              <w:t>Кваліфікаційні критерії та вимоги, встановлені п.47 Особливостей</w:t>
            </w:r>
          </w:p>
          <w:p w14:paraId="76A6A75D" w14:textId="299BF291"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0883B13B" w14:textId="4F1BF5DB" w:rsidR="007E4360" w:rsidRPr="007E4360" w:rsidRDefault="007E4360" w:rsidP="007E4360">
            <w:pPr>
              <w:widowControl w:val="0"/>
              <w:ind w:firstLine="12"/>
              <w:contextualSpacing/>
              <w:jc w:val="both"/>
              <w:rPr>
                <w:sz w:val="23"/>
                <w:szCs w:val="23"/>
                <w:lang w:val="uk-UA"/>
              </w:rPr>
            </w:pPr>
            <w:r w:rsidRPr="007E4360">
              <w:rPr>
                <w:sz w:val="23"/>
                <w:szCs w:val="23"/>
                <w:lang w:val="uk-UA"/>
              </w:rPr>
              <w:t>Відповідно до положення пункту 4</w:t>
            </w:r>
            <w:r w:rsidR="007862E8">
              <w:rPr>
                <w:sz w:val="23"/>
                <w:szCs w:val="23"/>
                <w:lang w:val="uk-UA"/>
              </w:rPr>
              <w:t>8</w:t>
            </w:r>
            <w:r w:rsidRPr="007E4360">
              <w:rPr>
                <w:sz w:val="23"/>
                <w:szCs w:val="23"/>
                <w:lang w:val="uk-UA"/>
              </w:rPr>
              <w:t xml:space="preserve">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A401DD">
              <w:rPr>
                <w:sz w:val="23"/>
                <w:szCs w:val="23"/>
                <w:lang w:val="uk-UA"/>
              </w:rPr>
              <w:t>не містить вимог щодо</w:t>
            </w:r>
            <w:r w:rsidRPr="007E4360">
              <w:rPr>
                <w:sz w:val="23"/>
                <w:szCs w:val="23"/>
                <w:lang w:val="uk-UA"/>
              </w:rPr>
              <w:t xml:space="preserve"> </w:t>
            </w:r>
            <w:r w:rsidRPr="00A401DD">
              <w:rPr>
                <w:sz w:val="23"/>
                <w:szCs w:val="23"/>
                <w:lang w:val="uk-UA"/>
              </w:rPr>
              <w:t>підтвердження</w:t>
            </w:r>
            <w:r w:rsidRPr="007E4360">
              <w:rPr>
                <w:sz w:val="23"/>
                <w:szCs w:val="23"/>
                <w:lang w:val="uk-UA"/>
              </w:rPr>
              <w:t xml:space="preserve"> учасниками їхньої відповідності до </w:t>
            </w:r>
            <w:r w:rsidRPr="00A401DD">
              <w:rPr>
                <w:sz w:val="23"/>
                <w:szCs w:val="23"/>
                <w:lang w:val="uk-UA"/>
              </w:rPr>
              <w:t>кваліфікаційних критеріїв по статті 16 Закону</w:t>
            </w:r>
            <w:r w:rsidRPr="007E4360">
              <w:rPr>
                <w:sz w:val="23"/>
                <w:szCs w:val="23"/>
                <w:lang w:val="uk-UA"/>
              </w:rPr>
              <w:t>.</w:t>
            </w:r>
          </w:p>
          <w:p w14:paraId="731480F9" w14:textId="77777777" w:rsidR="00A401DD" w:rsidRPr="00A401DD" w:rsidRDefault="00A401DD" w:rsidP="00A401DD">
            <w:pPr>
              <w:widowControl w:val="0"/>
              <w:ind w:right="120"/>
              <w:jc w:val="both"/>
              <w:rPr>
                <w:sz w:val="23"/>
                <w:szCs w:val="23"/>
                <w:lang w:val="uk-UA"/>
              </w:rPr>
            </w:pPr>
            <w:r w:rsidRPr="00A401DD">
              <w:rPr>
                <w:sz w:val="23"/>
                <w:szCs w:val="23"/>
                <w:lang w:val="uk-UA"/>
              </w:rPr>
              <w:t>Підстави, визначені пунктом 47 Особливостей.</w:t>
            </w:r>
          </w:p>
          <w:p w14:paraId="74A4D142" w14:textId="77777777" w:rsidR="00A401DD" w:rsidRPr="00A401DD" w:rsidRDefault="00A401DD" w:rsidP="00A401DD">
            <w:pPr>
              <w:widowControl w:val="0"/>
              <w:pBdr>
                <w:top w:val="nil"/>
                <w:left w:val="nil"/>
                <w:bottom w:val="nil"/>
                <w:right w:val="nil"/>
                <w:between w:val="nil"/>
              </w:pBdr>
              <w:jc w:val="both"/>
              <w:rPr>
                <w:sz w:val="23"/>
                <w:szCs w:val="23"/>
                <w:lang w:val="uk-UA"/>
              </w:rPr>
            </w:pPr>
            <w:r w:rsidRPr="00A401DD">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CB41B" w14:textId="77777777" w:rsidR="00A401DD" w:rsidRPr="00A401DD" w:rsidRDefault="00A401DD" w:rsidP="00A401DD">
            <w:pPr>
              <w:ind w:firstLine="371"/>
              <w:jc w:val="both"/>
              <w:rPr>
                <w:sz w:val="23"/>
                <w:szCs w:val="23"/>
                <w:lang w:val="uk-UA"/>
              </w:rPr>
            </w:pPr>
            <w:r w:rsidRPr="00A401DD">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655A4" w14:textId="77777777" w:rsidR="00A401DD" w:rsidRPr="00A401DD" w:rsidRDefault="00A401DD" w:rsidP="00A401DD">
            <w:pPr>
              <w:ind w:firstLine="371"/>
              <w:jc w:val="both"/>
              <w:rPr>
                <w:sz w:val="23"/>
                <w:szCs w:val="23"/>
                <w:lang w:val="uk-UA"/>
              </w:rPr>
            </w:pPr>
            <w:r w:rsidRPr="00A401DD">
              <w:rPr>
                <w:sz w:val="23"/>
                <w:szCs w:val="2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60225C" w14:textId="77777777" w:rsidR="00A401DD" w:rsidRPr="00A401DD" w:rsidRDefault="00A401DD" w:rsidP="00A401DD">
            <w:pPr>
              <w:ind w:firstLine="371"/>
              <w:jc w:val="both"/>
              <w:rPr>
                <w:sz w:val="23"/>
                <w:szCs w:val="23"/>
                <w:lang w:val="uk-UA"/>
              </w:rPr>
            </w:pPr>
            <w:r w:rsidRPr="00A401DD">
              <w:rPr>
                <w:sz w:val="23"/>
                <w:szCs w:val="23"/>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A401DD">
              <w:rPr>
                <w:sz w:val="23"/>
                <w:szCs w:val="23"/>
                <w:lang w:val="uk-UA"/>
              </w:rPr>
              <w:lastRenderedPageBreak/>
              <w:t>відповідальності за вчинення корупційного правопорушення або правопорушення, пов’язаного з корупцією;</w:t>
            </w:r>
          </w:p>
          <w:p w14:paraId="1312FC97" w14:textId="77777777" w:rsidR="00A401DD" w:rsidRPr="00A401DD" w:rsidRDefault="00A401DD" w:rsidP="00A401DD">
            <w:pPr>
              <w:ind w:firstLine="371"/>
              <w:jc w:val="both"/>
              <w:rPr>
                <w:sz w:val="23"/>
                <w:szCs w:val="23"/>
                <w:lang w:val="uk-UA"/>
              </w:rPr>
            </w:pPr>
            <w:r w:rsidRPr="00A401DD">
              <w:rPr>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A401DD">
                <w:rPr>
                  <w:sz w:val="23"/>
                  <w:szCs w:val="23"/>
                  <w:lang w:val="uk-UA"/>
                </w:rPr>
                <w:t>пунктом 4</w:t>
              </w:r>
            </w:hyperlink>
            <w:r w:rsidRPr="00A401DD">
              <w:rPr>
                <w:sz w:val="23"/>
                <w:szCs w:val="23"/>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70E62D" w14:textId="77777777" w:rsidR="00A401DD" w:rsidRPr="00A401DD" w:rsidRDefault="00A401DD" w:rsidP="00A401DD">
            <w:pPr>
              <w:ind w:firstLine="371"/>
              <w:jc w:val="both"/>
              <w:rPr>
                <w:sz w:val="23"/>
                <w:szCs w:val="23"/>
                <w:lang w:val="uk-UA"/>
              </w:rPr>
            </w:pPr>
            <w:r w:rsidRPr="00A401DD">
              <w:rPr>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2477" w14:textId="77777777" w:rsidR="00A401DD" w:rsidRPr="00A401DD" w:rsidRDefault="00A401DD" w:rsidP="00A401DD">
            <w:pPr>
              <w:ind w:firstLine="371"/>
              <w:jc w:val="both"/>
              <w:rPr>
                <w:sz w:val="23"/>
                <w:szCs w:val="23"/>
                <w:lang w:val="uk-UA"/>
              </w:rPr>
            </w:pPr>
            <w:r w:rsidRPr="00A401DD">
              <w:rPr>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2B415" w14:textId="77777777" w:rsidR="00A401DD" w:rsidRPr="00A401DD" w:rsidRDefault="00A401DD" w:rsidP="00A401DD">
            <w:pPr>
              <w:ind w:firstLine="371"/>
              <w:jc w:val="both"/>
              <w:rPr>
                <w:sz w:val="23"/>
                <w:szCs w:val="23"/>
                <w:lang w:val="uk-UA"/>
              </w:rPr>
            </w:pPr>
            <w:r w:rsidRPr="00A401DD">
              <w:rPr>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37514" w14:textId="77777777" w:rsidR="00A401DD" w:rsidRPr="00A401DD" w:rsidRDefault="00A401DD" w:rsidP="00A401DD">
            <w:pPr>
              <w:ind w:firstLine="371"/>
              <w:jc w:val="both"/>
              <w:rPr>
                <w:sz w:val="23"/>
                <w:szCs w:val="23"/>
                <w:lang w:val="uk-UA"/>
              </w:rPr>
            </w:pPr>
            <w:r w:rsidRPr="00A401DD">
              <w:rPr>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2DF45E1" w14:textId="77777777" w:rsidR="00A401DD" w:rsidRPr="00A401DD" w:rsidRDefault="00A401DD" w:rsidP="00A401DD">
            <w:pPr>
              <w:ind w:firstLine="371"/>
              <w:jc w:val="both"/>
              <w:rPr>
                <w:sz w:val="23"/>
                <w:szCs w:val="23"/>
                <w:lang w:val="uk-UA"/>
              </w:rPr>
            </w:pPr>
            <w:r w:rsidRPr="00A401DD">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87267" w14:textId="77777777" w:rsidR="00A401DD" w:rsidRPr="00A401DD" w:rsidRDefault="00A401DD" w:rsidP="00A401DD">
            <w:pPr>
              <w:ind w:firstLine="371"/>
              <w:jc w:val="both"/>
              <w:rPr>
                <w:sz w:val="23"/>
                <w:szCs w:val="23"/>
                <w:lang w:val="uk-UA"/>
              </w:rPr>
            </w:pPr>
            <w:r w:rsidRPr="00A401DD">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98C97" w14:textId="77777777" w:rsidR="00A401DD" w:rsidRPr="00A401DD" w:rsidRDefault="00A401DD" w:rsidP="00A401DD">
            <w:pPr>
              <w:ind w:firstLine="371"/>
              <w:jc w:val="both"/>
              <w:rPr>
                <w:sz w:val="23"/>
                <w:szCs w:val="23"/>
                <w:lang w:val="uk-UA"/>
              </w:rPr>
            </w:pPr>
            <w:r w:rsidRPr="00A401DD">
              <w:rPr>
                <w:sz w:val="23"/>
                <w:szCs w:val="23"/>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0B37F61" w14:textId="77777777" w:rsidR="00A401DD" w:rsidRPr="00A401DD" w:rsidRDefault="00A401DD" w:rsidP="00A401DD">
            <w:pPr>
              <w:ind w:firstLine="371"/>
              <w:jc w:val="both"/>
              <w:rPr>
                <w:sz w:val="23"/>
                <w:szCs w:val="23"/>
                <w:lang w:val="uk-UA"/>
              </w:rPr>
            </w:pPr>
            <w:r w:rsidRPr="00A401DD">
              <w:rPr>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A9643" w14:textId="77777777" w:rsidR="00A401DD" w:rsidRPr="00A401DD" w:rsidRDefault="00A401DD" w:rsidP="00A401DD">
            <w:pPr>
              <w:jc w:val="both"/>
              <w:rPr>
                <w:sz w:val="23"/>
                <w:szCs w:val="23"/>
                <w:lang w:val="uk-UA"/>
              </w:rPr>
            </w:pPr>
            <w:r w:rsidRPr="00A401DD">
              <w:rPr>
                <w:sz w:val="23"/>
                <w:szCs w:val="23"/>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DCF56" w14:textId="77777777" w:rsidR="0030652E" w:rsidRDefault="00A401DD" w:rsidP="00A401DD">
            <w:pPr>
              <w:shd w:val="clear" w:color="auto" w:fill="FFFFFF"/>
              <w:jc w:val="both"/>
              <w:rPr>
                <w:sz w:val="23"/>
                <w:szCs w:val="23"/>
                <w:lang w:val="uk-UA"/>
              </w:rPr>
            </w:pPr>
            <w:r w:rsidRPr="00A401DD">
              <w:rPr>
                <w:sz w:val="23"/>
                <w:szCs w:val="23"/>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A401DD">
              <w:rPr>
                <w:sz w:val="23"/>
                <w:szCs w:val="23"/>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BDDEE6" w14:textId="43AFC899" w:rsidR="00CA0DA4" w:rsidRPr="00CA0DA4" w:rsidRDefault="00CA0DA4" w:rsidP="00CA0DA4">
            <w:pPr>
              <w:shd w:val="clear" w:color="auto" w:fill="FFFFFF"/>
              <w:jc w:val="both"/>
              <w:rPr>
                <w:sz w:val="23"/>
                <w:szCs w:val="23"/>
                <w:lang w:val="uk-UA"/>
              </w:rPr>
            </w:pPr>
            <w:r w:rsidRPr="00CA0DA4">
              <w:rPr>
                <w:lang w:val="uk-UA"/>
              </w:rPr>
              <w:t xml:space="preserve">Переможець процедури закупівлі у строк, що не перевищує </w:t>
            </w:r>
            <w:r w:rsidRPr="00CA0DA4">
              <w:rPr>
                <w:b/>
                <w:lang w:val="uk-UA"/>
              </w:rPr>
              <w:t>чотири дні з дати оприлюднення</w:t>
            </w:r>
            <w:r w:rsidRPr="00CA0DA4">
              <w:rPr>
                <w:lang w:val="uk-UA"/>
              </w:rPr>
              <w:t xml:space="preserve"> </w:t>
            </w:r>
            <w:r w:rsidRPr="00CA0DA4">
              <w:rPr>
                <w:b/>
                <w:lang w:val="uk-UA"/>
              </w:rPr>
              <w:t>в електронній системі закупівель повідомлення про намір укласти договір про закупівлю</w:t>
            </w:r>
            <w:r w:rsidRPr="00CA0DA4">
              <w:rPr>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CA0DA4">
              <w:rPr>
                <w:lang w:val="uk-UA"/>
              </w:rPr>
              <w:t>.</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34404909" w14:textId="2EF3F06B" w:rsidR="000711A3" w:rsidRPr="0098485F" w:rsidRDefault="000711A3" w:rsidP="0021271A">
            <w:pPr>
              <w:widowControl w:val="0"/>
              <w:numPr>
                <w:ilvl w:val="1"/>
                <w:numId w:val="38"/>
              </w:numPr>
              <w:pBdr>
                <w:top w:val="nil"/>
                <w:left w:val="nil"/>
                <w:bottom w:val="nil"/>
                <w:right w:val="nil"/>
                <w:between w:val="nil"/>
              </w:pBdr>
              <w:ind w:left="34" w:firstLine="0"/>
              <w:jc w:val="both"/>
              <w:rPr>
                <w:b/>
                <w:color w:val="000000"/>
                <w:sz w:val="23"/>
                <w:szCs w:val="23"/>
                <w:lang w:val="uk-UA"/>
              </w:rPr>
            </w:pPr>
            <w:r w:rsidRPr="0098485F">
              <w:rPr>
                <w:color w:val="000000"/>
                <w:sz w:val="23"/>
                <w:szCs w:val="23"/>
              </w:rPr>
              <w:t>Кінцевий строк подання тендерних пропозицій</w:t>
            </w:r>
            <w:r w:rsidR="00303998">
              <w:rPr>
                <w:color w:val="000000"/>
                <w:sz w:val="23"/>
                <w:szCs w:val="23"/>
                <w:lang w:val="uk-UA"/>
              </w:rPr>
              <w:t>:</w:t>
            </w:r>
            <w:r w:rsidRPr="0098485F">
              <w:rPr>
                <w:color w:val="000000"/>
                <w:sz w:val="23"/>
                <w:szCs w:val="23"/>
              </w:rPr>
              <w:t xml:space="preserve"> </w:t>
            </w:r>
            <w:r w:rsidR="0098485F" w:rsidRPr="0098485F">
              <w:rPr>
                <w:b/>
                <w:color w:val="000000"/>
                <w:sz w:val="23"/>
                <w:szCs w:val="23"/>
                <w:lang w:val="uk-UA"/>
              </w:rPr>
              <w:t xml:space="preserve"> </w:t>
            </w:r>
            <w:bookmarkStart w:id="3" w:name="_GoBack"/>
            <w:bookmarkEnd w:id="3"/>
            <w:r w:rsidR="00303998">
              <w:rPr>
                <w:b/>
                <w:color w:val="000000"/>
                <w:sz w:val="23"/>
                <w:szCs w:val="23"/>
                <w:lang w:val="uk-UA"/>
              </w:rPr>
              <w:t>29</w:t>
            </w:r>
            <w:r w:rsidR="00803C64">
              <w:rPr>
                <w:b/>
                <w:color w:val="000000"/>
                <w:sz w:val="23"/>
                <w:szCs w:val="23"/>
                <w:lang w:val="uk-UA"/>
              </w:rPr>
              <w:t>.</w:t>
            </w:r>
            <w:r w:rsidR="008F3D15">
              <w:rPr>
                <w:b/>
                <w:color w:val="000000"/>
                <w:sz w:val="23"/>
                <w:szCs w:val="23"/>
                <w:lang w:val="uk-UA"/>
              </w:rPr>
              <w:t>01</w:t>
            </w:r>
            <w:r w:rsidR="0098485F" w:rsidRPr="0098485F">
              <w:rPr>
                <w:b/>
                <w:color w:val="000000"/>
                <w:sz w:val="23"/>
                <w:szCs w:val="23"/>
                <w:lang w:val="uk-UA"/>
              </w:rPr>
              <w:t>.</w:t>
            </w:r>
            <w:r w:rsidR="004D1522" w:rsidRPr="0098485F">
              <w:rPr>
                <w:b/>
                <w:color w:val="000000"/>
                <w:sz w:val="23"/>
                <w:szCs w:val="23"/>
              </w:rPr>
              <w:t>202</w:t>
            </w:r>
            <w:r w:rsidR="008F3D15">
              <w:rPr>
                <w:b/>
                <w:color w:val="000000"/>
                <w:sz w:val="23"/>
                <w:szCs w:val="23"/>
                <w:lang w:val="uk-UA"/>
              </w:rPr>
              <w:t>4</w:t>
            </w:r>
            <w:r w:rsidR="004D1522" w:rsidRPr="0098485F">
              <w:rPr>
                <w:b/>
                <w:color w:val="000000"/>
                <w:sz w:val="23"/>
                <w:szCs w:val="23"/>
              </w:rPr>
              <w:t xml:space="preserve"> року</w:t>
            </w:r>
            <w:r w:rsidR="00221E0D" w:rsidRPr="0098485F">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5532AF6B" w14:textId="48698FE9" w:rsidR="00D460CC" w:rsidRPr="00982BF4" w:rsidRDefault="00C4474E"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2.1.</w:t>
            </w:r>
            <w:r w:rsidR="000711A3" w:rsidRPr="00982BF4">
              <w:rPr>
                <w:rFonts w:ascii="Times New Roman" w:eastAsia="Times New Roman" w:hAnsi="Times New Roman" w:cs="Times New Roman"/>
                <w:sz w:val="23"/>
                <w:szCs w:val="23"/>
                <w:bdr w:val="none" w:sz="0" w:space="0" w:color="auto"/>
                <w:lang w:val="ru-RU" w:eastAsia="ru-RU"/>
              </w:rPr>
              <w:t xml:space="preserve"> </w:t>
            </w:r>
            <w:r w:rsidR="00D460CC" w:rsidRPr="00982BF4">
              <w:rPr>
                <w:rFonts w:ascii="Times New Roman" w:eastAsia="Times New Roman" w:hAnsi="Times New Roman" w:cs="Times New Roman"/>
                <w:sz w:val="23"/>
                <w:szCs w:val="23"/>
                <w:bdr w:val="none" w:sz="0" w:space="0" w:color="auto"/>
                <w:lang w:val="ru-RU" w:eastAsia="ru-RU"/>
              </w:rPr>
              <w:t>Відповідно до п. 38 Особливостей</w:t>
            </w:r>
            <w:r w:rsidR="00820079">
              <w:rPr>
                <w:rFonts w:ascii="Times New Roman" w:eastAsia="Times New Roman" w:hAnsi="Times New Roman" w:cs="Times New Roman"/>
                <w:sz w:val="23"/>
                <w:szCs w:val="23"/>
                <w:bdr w:val="none" w:sz="0" w:space="0" w:color="auto"/>
                <w:lang w:val="ru-RU" w:eastAsia="ru-RU"/>
              </w:rPr>
              <w:t>,</w:t>
            </w:r>
            <w:r w:rsidR="00D460CC" w:rsidRPr="00982BF4">
              <w:rPr>
                <w:rFonts w:ascii="Times New Roman" w:eastAsia="Times New Roman" w:hAnsi="Times New Roman" w:cs="Times New Roman"/>
                <w:sz w:val="23"/>
                <w:szCs w:val="23"/>
                <w:bdr w:val="none" w:sz="0" w:space="0" w:color="auto"/>
                <w:lang w:val="ru-RU"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8086F2" w14:textId="6BFECEE9"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2.2. </w:t>
            </w:r>
            <w:r w:rsidR="00D460CC" w:rsidRPr="00982BF4">
              <w:rPr>
                <w:rFonts w:ascii="Times New Roman" w:eastAsia="Times New Roman" w:hAnsi="Times New Roman" w:cs="Times New Roman"/>
                <w:sz w:val="23"/>
                <w:szCs w:val="23"/>
                <w:bdr w:val="none" w:sz="0" w:space="0" w:color="auto"/>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14:paraId="21C5BB0C" w14:textId="2954BBD4" w:rsidR="00D460CC" w:rsidRPr="00982BF4" w:rsidRDefault="00982BF4" w:rsidP="00D460CC">
            <w:pPr>
              <w:pStyle w:val="rvps2"/>
              <w:shd w:val="clear" w:color="auto" w:fill="FFFFFF"/>
              <w:spacing w:before="0" w:beforeAutospacing="0" w:after="0" w:afterAutospacing="0"/>
              <w:jc w:val="both"/>
              <w:textAlignment w:val="baseline"/>
              <w:rPr>
                <w:color w:val="000000"/>
                <w:sz w:val="23"/>
                <w:szCs w:val="23"/>
              </w:rPr>
            </w:pPr>
            <w:r>
              <w:rPr>
                <w:color w:val="000000"/>
                <w:sz w:val="23"/>
                <w:szCs w:val="23"/>
                <w:lang w:val="uk-UA"/>
              </w:rPr>
              <w:lastRenderedPageBreak/>
              <w:t xml:space="preserve">2.3. </w:t>
            </w:r>
            <w:r w:rsidR="00D460CC" w:rsidRPr="00982BF4">
              <w:rPr>
                <w:color w:val="000000"/>
                <w:sz w:val="23"/>
                <w:szCs w:val="23"/>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очікуваної вартості закупівлі.</w:t>
            </w:r>
          </w:p>
          <w:p w14:paraId="39A579A0" w14:textId="32B67F2B" w:rsidR="00D460CC" w:rsidRPr="00982BF4" w:rsidRDefault="00D460CC"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 xml:space="preserve"> </w:t>
            </w:r>
            <w:r w:rsidR="00982BF4">
              <w:rPr>
                <w:rFonts w:ascii="Times New Roman" w:eastAsia="Times New Roman" w:hAnsi="Times New Roman" w:cs="Times New Roman"/>
                <w:sz w:val="23"/>
                <w:szCs w:val="23"/>
                <w:bdr w:val="none" w:sz="0" w:space="0" w:color="auto"/>
                <w:lang w:val="ru-RU" w:eastAsia="ru-RU"/>
              </w:rPr>
              <w:t xml:space="preserve">2.4. </w:t>
            </w:r>
            <w:r w:rsidRPr="00982BF4">
              <w:rPr>
                <w:rFonts w:ascii="Times New Roman" w:eastAsia="Times New Roman" w:hAnsi="Times New Roman" w:cs="Times New Roman"/>
                <w:sz w:val="23"/>
                <w:szCs w:val="23"/>
                <w:bdr w:val="none" w:sz="0" w:space="0" w:color="auto"/>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C37C6CB" w14:textId="1E397595"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2.5. </w:t>
            </w:r>
            <w:r w:rsidR="00D460CC" w:rsidRPr="00982BF4">
              <w:rPr>
                <w:rFonts w:ascii="Times New Roman" w:eastAsia="Times New Roman" w:hAnsi="Times New Roman" w:cs="Times New Roman"/>
                <w:sz w:val="23"/>
                <w:szCs w:val="23"/>
                <w:bdr w:val="none" w:sz="0" w:space="0" w:color="auto"/>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58586" w14:textId="22D22128" w:rsidR="000711A3" w:rsidRPr="00982BF4" w:rsidRDefault="00D460CC" w:rsidP="00D460CC">
            <w:pPr>
              <w:widowControl w:val="0"/>
              <w:pBdr>
                <w:top w:val="nil"/>
                <w:left w:val="nil"/>
                <w:bottom w:val="nil"/>
                <w:right w:val="nil"/>
                <w:between w:val="nil"/>
              </w:pBdr>
              <w:jc w:val="both"/>
              <w:rPr>
                <w:color w:val="000000"/>
                <w:sz w:val="23"/>
                <w:szCs w:val="23"/>
              </w:rPr>
            </w:pPr>
            <w:r w:rsidRPr="00982BF4">
              <w:rPr>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V. Оцінка тендерної пропозиції</w:t>
            </w:r>
          </w:p>
        </w:tc>
      </w:tr>
      <w:tr w:rsidR="000711A3" w:rsidRPr="00C4474E"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25FFB527" w14:textId="5BAF0314" w:rsidR="004638B8" w:rsidRDefault="004638B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F05468" w14:textId="77777777" w:rsidR="004638B8" w:rsidRPr="00C4474E" w:rsidRDefault="004638B8" w:rsidP="004638B8">
            <w:pPr>
              <w:pStyle w:val="19"/>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B2C82B" w14:textId="37961B59" w:rsidR="00C4474E" w:rsidRPr="00C4474E" w:rsidRDefault="00E3113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00151838" w:rsidRPr="00C4474E">
              <w:rPr>
                <w:rFonts w:ascii="Times New Roman" w:eastAsia="Times New Roman" w:hAnsi="Times New Roman" w:cs="Times New Roman"/>
                <w:sz w:val="23"/>
                <w:szCs w:val="23"/>
                <w:bdr w:val="none" w:sz="0" w:space="0" w:color="auto"/>
                <w:lang w:eastAsia="ru-RU"/>
              </w:rPr>
              <w:t>.</w:t>
            </w:r>
            <w:r w:rsidR="00C4474E" w:rsidRPr="00C4474E">
              <w:rPr>
                <w:rFonts w:ascii="Times New Roman" w:eastAsia="Times New Roman" w:hAnsi="Times New Roman" w:cs="Times New Roman"/>
                <w:sz w:val="23"/>
                <w:szCs w:val="23"/>
                <w:bdr w:val="none" w:sz="0" w:space="0" w:color="auto"/>
                <w:lang w:eastAsia="ru-RU"/>
              </w:rPr>
              <w:t xml:space="preserve">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A7EF48A" w14:textId="70702473" w:rsidR="00C4474E" w:rsidRDefault="00064188" w:rsidP="00C4474E">
            <w:pPr>
              <w:widowControl w:val="0"/>
              <w:pBdr>
                <w:top w:val="nil"/>
                <w:left w:val="nil"/>
                <w:bottom w:val="nil"/>
                <w:right w:val="nil"/>
                <w:between w:val="nil"/>
              </w:pBdr>
              <w:jc w:val="both"/>
              <w:rPr>
                <w:color w:val="000000"/>
                <w:sz w:val="23"/>
                <w:szCs w:val="23"/>
                <w:lang w:val="uk-UA"/>
              </w:rPr>
            </w:pPr>
            <w:r>
              <w:rPr>
                <w:color w:val="000000"/>
                <w:sz w:val="23"/>
                <w:szCs w:val="23"/>
                <w:lang w:val="uk-UA"/>
              </w:rPr>
              <w:t>1.</w:t>
            </w:r>
            <w:r w:rsidR="00E31138">
              <w:rPr>
                <w:color w:val="000000"/>
                <w:sz w:val="23"/>
                <w:szCs w:val="23"/>
                <w:lang w:val="uk-UA"/>
              </w:rPr>
              <w:t>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38916EA4" w14:textId="03EFA50B" w:rsidR="000711A3" w:rsidRDefault="00C4474E" w:rsidP="00C4474E">
            <w:pPr>
              <w:pBdr>
                <w:top w:val="nil"/>
                <w:left w:val="nil"/>
                <w:bottom w:val="nil"/>
                <w:right w:val="nil"/>
                <w:between w:val="nil"/>
              </w:pBdr>
              <w:jc w:val="both"/>
              <w:rPr>
                <w:color w:val="000000"/>
                <w:sz w:val="23"/>
                <w:szCs w:val="23"/>
              </w:rPr>
            </w:pPr>
            <w:r>
              <w:rPr>
                <w:color w:val="000000"/>
                <w:sz w:val="23"/>
                <w:szCs w:val="23"/>
                <w:lang w:val="uk-UA"/>
              </w:rPr>
              <w:t xml:space="preserve">1.4. </w:t>
            </w:r>
            <w:r w:rsidR="000711A3" w:rsidRPr="00C4474E">
              <w:rPr>
                <w:color w:val="000000"/>
                <w:sz w:val="23"/>
                <w:szCs w:val="23"/>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FC65BEB" w14:textId="77777777" w:rsidR="004638B8" w:rsidRDefault="004638B8" w:rsidP="004638B8">
            <w:pPr>
              <w:contextualSpacing/>
              <w:jc w:val="both"/>
              <w:rPr>
                <w:b/>
                <w:i/>
                <w:color w:val="000000"/>
                <w:shd w:val="solid" w:color="FFFFFF" w:fill="FFFFFF"/>
                <w:lang w:eastAsia="en-US"/>
              </w:rPr>
            </w:pPr>
            <w:r w:rsidRPr="00A76F11">
              <w:rPr>
                <w:b/>
                <w:i/>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350A01E" w14:textId="1933468B"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 xml:space="preserve">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982BF4">
              <w:rPr>
                <w:rFonts w:ascii="Times New Roman" w:eastAsia="Times New Roman" w:hAnsi="Times New Roman" w:cs="Times New Roman"/>
                <w:sz w:val="23"/>
                <w:szCs w:val="23"/>
                <w:bdr w:val="none" w:sz="0" w:space="0" w:color="auto"/>
                <w:lang w:eastAsia="ru-RU"/>
              </w:rPr>
              <w:lastRenderedPageBreak/>
              <w:t>рішення.</w:t>
            </w:r>
          </w:p>
          <w:p w14:paraId="452A2E5D" w14:textId="5F25F239"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D25695" w14:textId="4DCA6998"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8775A9D" w14:textId="03781F03" w:rsidR="00C4474E" w:rsidRPr="00C4474E" w:rsidRDefault="00C4474E" w:rsidP="004638B8">
            <w:pPr>
              <w:pStyle w:val="a7"/>
              <w:pBdr>
                <w:top w:val="nil"/>
                <w:left w:val="nil"/>
                <w:bottom w:val="nil"/>
                <w:right w:val="nil"/>
                <w:between w:val="nil"/>
              </w:pBdr>
              <w:ind w:left="360"/>
              <w:jc w:val="both"/>
              <w:rPr>
                <w:color w:val="000000"/>
                <w:sz w:val="23"/>
                <w:szCs w:val="23"/>
              </w:rPr>
            </w:pP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F90231">
              <w:rPr>
                <w:color w:val="000000"/>
                <w:sz w:val="23"/>
                <w:szCs w:val="23"/>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1B5A92"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2A3E173B" w14:textId="33D535BE" w:rsidR="00E31138" w:rsidRPr="00E31138" w:rsidRDefault="00E31138" w:rsidP="00E31138">
            <w:pPr>
              <w:contextualSpacing/>
              <w:jc w:val="both"/>
              <w:rPr>
                <w:color w:val="000000"/>
                <w:sz w:val="23"/>
                <w:szCs w:val="23"/>
                <w:lang w:val="uk-UA"/>
              </w:rPr>
            </w:pPr>
            <w:r>
              <w:rPr>
                <w:color w:val="000000"/>
                <w:sz w:val="23"/>
                <w:szCs w:val="23"/>
                <w:lang w:val="uk-UA"/>
              </w:rPr>
              <w:t>4.1.</w:t>
            </w:r>
            <w:r w:rsidRPr="00E31138">
              <w:rPr>
                <w:color w:val="000000"/>
                <w:sz w:val="23"/>
                <w:szCs w:val="23"/>
                <w:lang w:val="uk-UA"/>
              </w:rPr>
              <w:t>Замовник відхиляє тендерну пропозицію із зазначенням аргументації в електронній системі закупівель у разі, коли:</w:t>
            </w:r>
          </w:p>
          <w:p w14:paraId="652563B0" w14:textId="00F6996A" w:rsidR="00E31138" w:rsidRPr="00E31138" w:rsidRDefault="00E31138" w:rsidP="00E31138">
            <w:pPr>
              <w:pStyle w:val="a7"/>
              <w:numPr>
                <w:ilvl w:val="0"/>
                <w:numId w:val="48"/>
              </w:numPr>
              <w:jc w:val="both"/>
              <w:rPr>
                <w:color w:val="000000"/>
                <w:sz w:val="23"/>
                <w:szCs w:val="23"/>
              </w:rPr>
            </w:pPr>
            <w:r w:rsidRPr="00E31138">
              <w:rPr>
                <w:color w:val="000000"/>
                <w:sz w:val="23"/>
                <w:szCs w:val="23"/>
              </w:rPr>
              <w:t xml:space="preserve">учасник процедури закупівлі: </w:t>
            </w:r>
          </w:p>
          <w:p w14:paraId="524D89E1" w14:textId="6DDBBE15" w:rsidR="00E31138" w:rsidRPr="00E31138" w:rsidRDefault="00E31138" w:rsidP="00E31138">
            <w:pPr>
              <w:pStyle w:val="a7"/>
              <w:numPr>
                <w:ilvl w:val="0"/>
                <w:numId w:val="49"/>
              </w:numPr>
              <w:jc w:val="both"/>
              <w:rPr>
                <w:color w:val="000000"/>
                <w:sz w:val="23"/>
                <w:szCs w:val="23"/>
              </w:rPr>
            </w:pPr>
            <w:r w:rsidRPr="00E31138">
              <w:rPr>
                <w:color w:val="000000"/>
                <w:sz w:val="23"/>
                <w:szCs w:val="23"/>
              </w:rPr>
              <w:t xml:space="preserve">підпадає під підстави, встановлені </w:t>
            </w:r>
            <w:hyperlink r:id="rId10" w:anchor="n615" w:history="1">
              <w:r w:rsidRPr="00E31138">
                <w:rPr>
                  <w:color w:val="000000"/>
                  <w:sz w:val="23"/>
                  <w:szCs w:val="23"/>
                </w:rPr>
                <w:t>пунктом 47</w:t>
              </w:r>
            </w:hyperlink>
            <w:r w:rsidRPr="00E31138">
              <w:rPr>
                <w:color w:val="000000"/>
                <w:sz w:val="23"/>
                <w:szCs w:val="23"/>
              </w:rPr>
              <w:t xml:space="preserve"> особливостей;</w:t>
            </w:r>
          </w:p>
          <w:p w14:paraId="03AF6BDC" w14:textId="6A60C975" w:rsidR="00E31138" w:rsidRPr="00E31138" w:rsidRDefault="00E31138" w:rsidP="00E31138">
            <w:pPr>
              <w:pStyle w:val="rvps2"/>
              <w:numPr>
                <w:ilvl w:val="0"/>
                <w:numId w:val="49"/>
              </w:numPr>
              <w:shd w:val="clear" w:color="auto" w:fill="FFFFFF"/>
              <w:spacing w:before="0" w:beforeAutospacing="0" w:after="0" w:afterAutospacing="0"/>
              <w:contextualSpacing/>
              <w:jc w:val="both"/>
              <w:rPr>
                <w:color w:val="000000"/>
                <w:sz w:val="23"/>
                <w:szCs w:val="23"/>
                <w:lang w:val="uk-UA"/>
              </w:rPr>
            </w:pPr>
            <w:bookmarkStart w:id="4" w:name="n594"/>
            <w:bookmarkEnd w:id="4"/>
            <w:r w:rsidRPr="00E31138">
              <w:rPr>
                <w:color w:val="000000"/>
                <w:sz w:val="23"/>
                <w:szCs w:val="2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E31138">
                <w:rPr>
                  <w:color w:val="000000"/>
                  <w:sz w:val="23"/>
                  <w:szCs w:val="23"/>
                  <w:lang w:val="uk-UA"/>
                </w:rPr>
                <w:t>абзацом першим</w:t>
              </w:r>
            </w:hyperlink>
            <w:r w:rsidRPr="00E31138">
              <w:rPr>
                <w:color w:val="000000"/>
                <w:sz w:val="23"/>
                <w:szCs w:val="23"/>
                <w:lang w:val="uk-UA"/>
              </w:rPr>
              <w:t xml:space="preserve"> пункту 42   особливостей;</w:t>
            </w:r>
          </w:p>
          <w:p w14:paraId="7BC998B5" w14:textId="6B7990F6" w:rsidR="00E31138" w:rsidRDefault="00E31138" w:rsidP="00E31138">
            <w:pPr>
              <w:pStyle w:val="rvps2"/>
              <w:numPr>
                <w:ilvl w:val="0"/>
                <w:numId w:val="49"/>
              </w:numPr>
              <w:shd w:val="clear" w:color="auto" w:fill="FFFFFF"/>
              <w:spacing w:before="0" w:after="0"/>
              <w:contextualSpacing/>
              <w:jc w:val="both"/>
              <w:rPr>
                <w:color w:val="000000"/>
                <w:sz w:val="23"/>
                <w:szCs w:val="23"/>
                <w:lang w:val="uk-UA"/>
              </w:rPr>
            </w:pPr>
            <w:bookmarkStart w:id="5" w:name="n595"/>
            <w:bookmarkEnd w:id="5"/>
            <w:r w:rsidRPr="00E31138">
              <w:rPr>
                <w:color w:val="000000"/>
                <w:sz w:val="23"/>
                <w:szCs w:val="23"/>
                <w:lang w:val="uk-UA"/>
              </w:rPr>
              <w:t>не надав забезпечення тендерної пропозиції, якщо таке забезпечення вимагалося замовником;</w:t>
            </w:r>
          </w:p>
          <w:p w14:paraId="4B88E830" w14:textId="06BA12E9"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r w:rsidRPr="00E31138">
              <w:rPr>
                <w:color w:val="000000"/>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4068B4" w14:textId="23FFEA3E"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6" w:name="n597"/>
            <w:bookmarkEnd w:id="6"/>
            <w:r w:rsidRPr="00E31138">
              <w:rPr>
                <w:color w:val="000000"/>
                <w:sz w:val="23"/>
                <w:szCs w:val="23"/>
                <w:lang w:val="uk-UA"/>
              </w:rPr>
              <w:t>не надав обґрунтування аномально низької ціни тендерної пропозиції протягом строку, визначеного </w:t>
            </w:r>
            <w:hyperlink r:id="rId12" w:anchor="n1543" w:tgtFrame="_blank" w:history="1">
              <w:r w:rsidRPr="00E31138">
                <w:rPr>
                  <w:color w:val="000000"/>
                  <w:sz w:val="23"/>
                  <w:szCs w:val="23"/>
                  <w:lang w:val="uk-UA"/>
                </w:rPr>
                <w:t>абзацом першим</w:t>
              </w:r>
            </w:hyperlink>
            <w:r w:rsidRPr="00E31138">
              <w:rPr>
                <w:color w:val="000000"/>
                <w:sz w:val="23"/>
                <w:szCs w:val="23"/>
                <w:lang w:val="uk-UA"/>
              </w:rPr>
              <w:t> частини чотирнадцятої статті 29 Закону/</w:t>
            </w:r>
            <w:hyperlink r:id="rId13" w:anchor="n581" w:history="1">
              <w:r w:rsidRPr="00E31138">
                <w:rPr>
                  <w:color w:val="000000"/>
                  <w:sz w:val="23"/>
                  <w:szCs w:val="23"/>
                  <w:lang w:val="uk-UA"/>
                </w:rPr>
                <w:t>абзацом дев’ятим</w:t>
              </w:r>
            </w:hyperlink>
            <w:r w:rsidRPr="00E31138">
              <w:rPr>
                <w:color w:val="000000"/>
                <w:sz w:val="23"/>
                <w:szCs w:val="23"/>
                <w:lang w:val="uk-UA"/>
              </w:rPr>
              <w:t> пункту 37 цих особливостей;</w:t>
            </w:r>
          </w:p>
          <w:p w14:paraId="67FDB77A" w14:textId="04095CA7"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7" w:name="n598"/>
            <w:bookmarkEnd w:id="7"/>
            <w:r w:rsidRPr="00E31138">
              <w:rPr>
                <w:color w:val="000000"/>
                <w:sz w:val="23"/>
                <w:szCs w:val="23"/>
                <w:lang w:val="uk-UA"/>
              </w:rPr>
              <w:t>визначив конфіденційною інформацію, що не може бути визначена як конфіденційна відповідно до вимог </w:t>
            </w:r>
            <w:hyperlink r:id="rId14" w:anchor="n584" w:history="1">
              <w:r w:rsidRPr="00E31138">
                <w:rPr>
                  <w:color w:val="000000"/>
                  <w:sz w:val="23"/>
                  <w:szCs w:val="23"/>
                  <w:lang w:val="uk-UA"/>
                </w:rPr>
                <w:t>пункту 40</w:t>
              </w:r>
            </w:hyperlink>
            <w:r w:rsidRPr="00E31138">
              <w:rPr>
                <w:color w:val="000000"/>
                <w:sz w:val="23"/>
                <w:szCs w:val="23"/>
                <w:lang w:val="uk-UA"/>
              </w:rPr>
              <w:t> цих особливостей;</w:t>
            </w:r>
          </w:p>
          <w:p w14:paraId="0B74A75A" w14:textId="4957AEBC"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8" w:name="n599"/>
            <w:bookmarkEnd w:id="8"/>
            <w:r w:rsidRPr="00E31138">
              <w:rPr>
                <w:color w:val="000000"/>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E31138">
              <w:rPr>
                <w:color w:val="000000"/>
                <w:sz w:val="23"/>
                <w:szCs w:val="23"/>
                <w:lang w:val="uk-UA"/>
              </w:rPr>
              <w:lastRenderedPageBreak/>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2ADC63" w14:textId="669930F5" w:rsidR="001B5A92" w:rsidRPr="001B5A92" w:rsidRDefault="001B5A92" w:rsidP="001B5A92">
            <w:pPr>
              <w:pStyle w:val="a7"/>
              <w:numPr>
                <w:ilvl w:val="0"/>
                <w:numId w:val="48"/>
              </w:numPr>
              <w:jc w:val="both"/>
              <w:rPr>
                <w:color w:val="000000"/>
                <w:sz w:val="23"/>
                <w:szCs w:val="23"/>
              </w:rPr>
            </w:pPr>
            <w:r w:rsidRPr="001B5A92">
              <w:rPr>
                <w:color w:val="000000"/>
                <w:sz w:val="23"/>
                <w:szCs w:val="23"/>
              </w:rPr>
              <w:t>тендерна пропозиція:</w:t>
            </w:r>
          </w:p>
          <w:p w14:paraId="45C5EFD4" w14:textId="11B9A67E"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r w:rsidRPr="001B5A92">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1B5A92">
                <w:rPr>
                  <w:color w:val="000000"/>
                  <w:sz w:val="23"/>
                  <w:szCs w:val="23"/>
                  <w:lang w:val="uk-UA"/>
                </w:rPr>
                <w:t>пункту 43</w:t>
              </w:r>
            </w:hyperlink>
            <w:r w:rsidRPr="001B5A92">
              <w:rPr>
                <w:color w:val="000000"/>
                <w:sz w:val="23"/>
                <w:szCs w:val="23"/>
                <w:lang w:val="uk-UA"/>
              </w:rPr>
              <w:t> цих особливостей;</w:t>
            </w:r>
          </w:p>
          <w:p w14:paraId="558E6078" w14:textId="79B14369"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9" w:name="n602"/>
            <w:bookmarkEnd w:id="9"/>
            <w:r w:rsidRPr="001B5A92">
              <w:rPr>
                <w:color w:val="000000"/>
                <w:sz w:val="23"/>
                <w:szCs w:val="23"/>
                <w:lang w:val="uk-UA"/>
              </w:rPr>
              <w:t>є такою, строк дії якої закінчився;</w:t>
            </w:r>
          </w:p>
          <w:p w14:paraId="5217CE3C" w14:textId="1F73368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0" w:name="n603"/>
            <w:bookmarkEnd w:id="10"/>
            <w:r w:rsidRPr="001B5A92">
              <w:rPr>
                <w:color w:val="000000"/>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4FAA30" w14:textId="66791C8F" w:rsidR="001B5A92" w:rsidRPr="001B5A92" w:rsidRDefault="001B5A92" w:rsidP="001B5A92">
            <w:pPr>
              <w:pStyle w:val="rvps2"/>
              <w:shd w:val="clear" w:color="auto" w:fill="FFFFFF"/>
              <w:spacing w:before="0" w:after="0"/>
              <w:ind w:left="742" w:hanging="283"/>
              <w:contextualSpacing/>
              <w:jc w:val="both"/>
              <w:rPr>
                <w:color w:val="000000"/>
                <w:sz w:val="23"/>
                <w:szCs w:val="23"/>
                <w:lang w:val="uk-UA"/>
              </w:rPr>
            </w:pPr>
            <w:bookmarkStart w:id="11" w:name="n604"/>
            <w:bookmarkEnd w:id="11"/>
            <w:r>
              <w:rPr>
                <w:color w:val="000000"/>
                <w:sz w:val="23"/>
                <w:szCs w:val="23"/>
                <w:lang w:val="uk-UA"/>
              </w:rPr>
              <w:t xml:space="preserve">- </w:t>
            </w:r>
            <w:r w:rsidRPr="001B5A92">
              <w:rPr>
                <w:color w:val="000000"/>
                <w:sz w:val="23"/>
                <w:szCs w:val="23"/>
                <w:lang w:val="uk-UA"/>
              </w:rPr>
              <w:t xml:space="preserve">не відповідає вимогам, установленим у тендерній документації </w:t>
            </w:r>
            <w:r>
              <w:rPr>
                <w:color w:val="000000"/>
                <w:sz w:val="23"/>
                <w:szCs w:val="23"/>
                <w:lang w:val="uk-UA"/>
              </w:rPr>
              <w:t xml:space="preserve">  </w:t>
            </w:r>
            <w:r w:rsidRPr="001B5A92">
              <w:rPr>
                <w:color w:val="000000"/>
                <w:sz w:val="23"/>
                <w:szCs w:val="23"/>
                <w:lang w:val="uk-UA"/>
              </w:rPr>
              <w:t>відповідно до </w:t>
            </w:r>
            <w:hyperlink r:id="rId16" w:anchor="n1422" w:tgtFrame="_blank" w:history="1">
              <w:r w:rsidRPr="001B5A92">
                <w:rPr>
                  <w:color w:val="000000"/>
                  <w:sz w:val="23"/>
                  <w:szCs w:val="23"/>
                  <w:lang w:val="uk-UA"/>
                </w:rPr>
                <w:t>абзацу першого</w:t>
              </w:r>
            </w:hyperlink>
            <w:r w:rsidRPr="001B5A92">
              <w:rPr>
                <w:color w:val="000000"/>
                <w:sz w:val="23"/>
                <w:szCs w:val="23"/>
                <w:lang w:val="uk-UA"/>
              </w:rPr>
              <w:t> частини третьої статті 22 Закону;</w:t>
            </w:r>
          </w:p>
          <w:p w14:paraId="6940DDD5" w14:textId="77777777" w:rsidR="001B5A92" w:rsidRPr="001B5A92" w:rsidRDefault="001B5A92" w:rsidP="001B5A92">
            <w:pPr>
              <w:pStyle w:val="rvps2"/>
              <w:shd w:val="clear" w:color="auto" w:fill="FFFFFF"/>
              <w:spacing w:before="0" w:after="0"/>
              <w:ind w:firstLine="450"/>
              <w:contextualSpacing/>
              <w:jc w:val="both"/>
              <w:rPr>
                <w:color w:val="000000"/>
                <w:sz w:val="23"/>
                <w:szCs w:val="23"/>
                <w:lang w:val="uk-UA"/>
              </w:rPr>
            </w:pPr>
            <w:bookmarkStart w:id="12" w:name="n605"/>
            <w:bookmarkEnd w:id="12"/>
            <w:r w:rsidRPr="001B5A92">
              <w:rPr>
                <w:color w:val="000000"/>
                <w:sz w:val="23"/>
                <w:szCs w:val="23"/>
                <w:lang w:val="uk-UA"/>
              </w:rPr>
              <w:t>3) переможець процедури закупівлі:</w:t>
            </w:r>
          </w:p>
          <w:p w14:paraId="788B31E1" w14:textId="25EB9181"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3" w:name="n606"/>
            <w:bookmarkEnd w:id="13"/>
            <w:r w:rsidRPr="001B5A92">
              <w:rPr>
                <w:color w:val="000000"/>
                <w:sz w:val="23"/>
                <w:szCs w:val="23"/>
                <w:lang w:val="uk-UA"/>
              </w:rPr>
              <w:t xml:space="preserve">відмовився від підписання договору про закупівлю відповідно до </w:t>
            </w:r>
            <w:r>
              <w:rPr>
                <w:color w:val="000000"/>
                <w:sz w:val="23"/>
                <w:szCs w:val="23"/>
                <w:lang w:val="uk-UA"/>
              </w:rPr>
              <w:t xml:space="preserve">    </w:t>
            </w:r>
            <w:r w:rsidRPr="001B5A92">
              <w:rPr>
                <w:color w:val="000000"/>
                <w:sz w:val="23"/>
                <w:szCs w:val="23"/>
                <w:lang w:val="uk-UA"/>
              </w:rPr>
              <w:t>вимог тендерної документації або укладення договору про закупівлю;</w:t>
            </w:r>
          </w:p>
          <w:p w14:paraId="0F058E76"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4" w:name="n607"/>
            <w:bookmarkEnd w:id="14"/>
            <w:r w:rsidRPr="001B5A92">
              <w:rPr>
                <w:color w:val="000000"/>
                <w:sz w:val="23"/>
                <w:szCs w:val="23"/>
                <w:lang w:val="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1B5A92">
                <w:rPr>
                  <w:color w:val="000000"/>
                  <w:sz w:val="23"/>
                  <w:szCs w:val="23"/>
                  <w:lang w:val="uk-UA"/>
                </w:rPr>
                <w:t>підпунктах 3</w:t>
              </w:r>
            </w:hyperlink>
            <w:r w:rsidRPr="001B5A92">
              <w:rPr>
                <w:color w:val="000000"/>
                <w:sz w:val="23"/>
                <w:szCs w:val="23"/>
                <w:lang w:val="uk-UA"/>
              </w:rPr>
              <w:t>, </w:t>
            </w:r>
            <w:hyperlink r:id="rId18" w:anchor="n620" w:history="1">
              <w:r w:rsidRPr="001B5A92">
                <w:rPr>
                  <w:color w:val="000000"/>
                  <w:sz w:val="23"/>
                  <w:szCs w:val="23"/>
                  <w:lang w:val="uk-UA"/>
                </w:rPr>
                <w:t>5</w:t>
              </w:r>
            </w:hyperlink>
            <w:r w:rsidRPr="001B5A92">
              <w:rPr>
                <w:color w:val="000000"/>
                <w:sz w:val="23"/>
                <w:szCs w:val="23"/>
                <w:lang w:val="uk-UA"/>
              </w:rPr>
              <w:t>, </w:t>
            </w:r>
            <w:hyperlink r:id="rId19" w:anchor="n621" w:history="1">
              <w:r w:rsidRPr="001B5A92">
                <w:rPr>
                  <w:color w:val="000000"/>
                  <w:sz w:val="23"/>
                  <w:szCs w:val="23"/>
                  <w:lang w:val="uk-UA"/>
                </w:rPr>
                <w:t>6</w:t>
              </w:r>
            </w:hyperlink>
            <w:r w:rsidRPr="001B5A92">
              <w:rPr>
                <w:color w:val="000000"/>
                <w:sz w:val="23"/>
                <w:szCs w:val="23"/>
                <w:lang w:val="uk-UA"/>
              </w:rPr>
              <w:t> і </w:t>
            </w:r>
            <w:hyperlink r:id="rId20" w:anchor="n627" w:history="1">
              <w:r w:rsidRPr="001B5A92">
                <w:rPr>
                  <w:color w:val="000000"/>
                  <w:sz w:val="23"/>
                  <w:szCs w:val="23"/>
                  <w:lang w:val="uk-UA"/>
                </w:rPr>
                <w:t>12</w:t>
              </w:r>
            </w:hyperlink>
            <w:r w:rsidRPr="001B5A92">
              <w:rPr>
                <w:color w:val="000000"/>
                <w:sz w:val="23"/>
                <w:szCs w:val="23"/>
                <w:lang w:val="uk-UA"/>
              </w:rPr>
              <w:t> та в </w:t>
            </w:r>
            <w:hyperlink r:id="rId21" w:anchor="n628" w:history="1">
              <w:r w:rsidRPr="001B5A92">
                <w:rPr>
                  <w:color w:val="000000"/>
                  <w:sz w:val="23"/>
                  <w:szCs w:val="23"/>
                  <w:lang w:val="uk-UA"/>
                </w:rPr>
                <w:t>абзаці чотирнадцятому</w:t>
              </w:r>
            </w:hyperlink>
            <w:r w:rsidRPr="001B5A92">
              <w:rPr>
                <w:color w:val="000000"/>
                <w:sz w:val="23"/>
                <w:szCs w:val="23"/>
                <w:lang w:val="uk-UA"/>
              </w:rPr>
              <w:t> пункту 47 цих особливостей;</w:t>
            </w:r>
          </w:p>
          <w:p w14:paraId="6336F2F2"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5" w:name="n608"/>
            <w:bookmarkEnd w:id="15"/>
            <w:r w:rsidRPr="001B5A92">
              <w:rPr>
                <w:color w:val="000000"/>
                <w:sz w:val="23"/>
                <w:szCs w:val="23"/>
                <w:lang w:val="uk-UA"/>
              </w:rPr>
              <w:t>не надав забезпечення виконання договору про закупівлю, якщо таке забезпечення вимагалося замовником;</w:t>
            </w:r>
          </w:p>
          <w:p w14:paraId="4E1322F4" w14:textId="77777777" w:rsid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6" w:name="n609"/>
            <w:bookmarkEnd w:id="16"/>
            <w:r w:rsidRPr="001B5A92">
              <w:rPr>
                <w:color w:val="000000"/>
                <w:sz w:val="23"/>
                <w:szCs w:val="2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1B5A92">
                <w:rPr>
                  <w:color w:val="000000"/>
                  <w:sz w:val="23"/>
                  <w:szCs w:val="23"/>
                  <w:lang w:val="uk-UA"/>
                </w:rPr>
                <w:t>абзацом першим</w:t>
              </w:r>
            </w:hyperlink>
            <w:r w:rsidRPr="001B5A92">
              <w:rPr>
                <w:color w:val="000000"/>
                <w:sz w:val="23"/>
                <w:szCs w:val="23"/>
                <w:lang w:val="uk-UA"/>
              </w:rPr>
              <w:t> пункту 42 особливостей.</w:t>
            </w:r>
          </w:p>
          <w:p w14:paraId="0A43AAE9" w14:textId="77777777" w:rsidR="001B5A92" w:rsidRPr="001B5A92" w:rsidRDefault="001B5A92" w:rsidP="001B5A92">
            <w:pPr>
              <w:contextualSpacing/>
              <w:jc w:val="both"/>
              <w:rPr>
                <w:color w:val="000000"/>
                <w:sz w:val="23"/>
                <w:szCs w:val="23"/>
              </w:rPr>
            </w:pPr>
            <w:r>
              <w:rPr>
                <w:color w:val="000000"/>
                <w:sz w:val="23"/>
                <w:szCs w:val="23"/>
                <w:lang w:val="uk-UA"/>
              </w:rPr>
              <w:t xml:space="preserve">4.2. </w:t>
            </w:r>
            <w:r w:rsidRPr="001B5A92">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328E0032" w14:textId="77777777" w:rsidR="001B5A92" w:rsidRPr="001B5A92" w:rsidRDefault="001B5A92" w:rsidP="001B5A92">
            <w:pPr>
              <w:widowControl w:val="0"/>
              <w:jc w:val="both"/>
              <w:rPr>
                <w:color w:val="000000"/>
                <w:sz w:val="23"/>
                <w:szCs w:val="23"/>
              </w:rPr>
            </w:pPr>
            <w:r w:rsidRPr="001B5A92">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4C9A8" w14:textId="714B9317" w:rsidR="001B5A92" w:rsidRPr="001B5A92" w:rsidRDefault="001B5A92" w:rsidP="001B5A92">
            <w:pPr>
              <w:widowControl w:val="0"/>
              <w:jc w:val="both"/>
              <w:rPr>
                <w:color w:val="000000"/>
                <w:sz w:val="23"/>
                <w:szCs w:val="23"/>
              </w:rPr>
            </w:pPr>
            <w:bookmarkStart w:id="17" w:name="n612"/>
            <w:bookmarkEnd w:id="17"/>
            <w:r w:rsidRPr="001B5A92">
              <w:rPr>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CE5769" w14:textId="77777777" w:rsidR="001B5A92" w:rsidRPr="001B5A92" w:rsidRDefault="001B5A92" w:rsidP="001B5A92">
            <w:pPr>
              <w:pStyle w:val="rvps2"/>
              <w:shd w:val="clear" w:color="auto" w:fill="FFFFFF"/>
              <w:spacing w:before="0" w:after="0"/>
              <w:ind w:firstLine="448"/>
              <w:contextualSpacing/>
              <w:jc w:val="both"/>
              <w:rPr>
                <w:color w:val="000000"/>
                <w:sz w:val="23"/>
                <w:szCs w:val="23"/>
              </w:rPr>
            </w:pPr>
            <w:r w:rsidRPr="001B5A92">
              <w:rPr>
                <w:color w:val="000000"/>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1B5A92">
              <w:rPr>
                <w:color w:val="000000"/>
                <w:sz w:val="23"/>
                <w:szCs w:val="23"/>
              </w:rPr>
              <w:lastRenderedPageBreak/>
              <w:t>закупівлі, тендерна пропозиція якого відхилена, через електронну систему закупівель.</w:t>
            </w:r>
          </w:p>
          <w:p w14:paraId="67B92D8C" w14:textId="7AFD4B42" w:rsidR="000711A3" w:rsidRPr="001B5A92" w:rsidRDefault="001B5A92" w:rsidP="001B5A92">
            <w:pPr>
              <w:pStyle w:val="rvps2"/>
              <w:shd w:val="clear" w:color="auto" w:fill="FFFFFF"/>
              <w:spacing w:before="0" w:after="0"/>
              <w:contextualSpacing/>
              <w:jc w:val="both"/>
              <w:rPr>
                <w:color w:val="000000"/>
                <w:sz w:val="23"/>
                <w:szCs w:val="23"/>
              </w:rPr>
            </w:pPr>
            <w:bookmarkStart w:id="18" w:name="n614"/>
            <w:bookmarkEnd w:id="18"/>
            <w:r w:rsidRPr="001B5A92">
              <w:rPr>
                <w:color w:val="000000"/>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1B5A92">
                <w:rPr>
                  <w:color w:val="000000"/>
                  <w:sz w:val="23"/>
                  <w:szCs w:val="23"/>
                </w:rPr>
                <w:t>статті 10</w:t>
              </w:r>
            </w:hyperlink>
            <w:r w:rsidRPr="001B5A92">
              <w:rPr>
                <w:color w:val="000000"/>
                <w:sz w:val="23"/>
                <w:szCs w:val="23"/>
              </w:rPr>
              <w:t> Закону.</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до органу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Істотні умови, що обов’язково включаються 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8) зміни умов у зв’язку із застосуванням положень частини шостої статті 41 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lastRenderedPageBreak/>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Дії замовника при відмові переможця торгів підписати договір про закупівлю</w:t>
            </w:r>
          </w:p>
        </w:tc>
        <w:tc>
          <w:tcPr>
            <w:tcW w:w="7676" w:type="dxa"/>
          </w:tcPr>
          <w:p w14:paraId="2FFCF53F" w14:textId="5D9CE6A9" w:rsidR="000711A3" w:rsidRPr="00C0758C" w:rsidRDefault="000711A3" w:rsidP="00CA5E1B">
            <w:pPr>
              <w:widowControl w:val="0"/>
              <w:pBdr>
                <w:top w:val="nil"/>
                <w:left w:val="nil"/>
                <w:bottom w:val="nil"/>
                <w:right w:val="nil"/>
                <w:between w:val="nil"/>
              </w:pBdr>
              <w:jc w:val="both"/>
              <w:rPr>
                <w:color w:val="000000"/>
                <w:sz w:val="23"/>
                <w:szCs w:val="23"/>
              </w:rPr>
            </w:pPr>
            <w:r w:rsidRPr="00C0758C">
              <w:rPr>
                <w:color w:val="000000"/>
                <w:sz w:val="23"/>
                <w:szCs w:val="23"/>
              </w:rPr>
              <w:t xml:space="preserve">5.1. </w:t>
            </w:r>
            <w:r w:rsidR="00EC243F" w:rsidRPr="00EC243F">
              <w:rPr>
                <w:color w:val="000000"/>
                <w:sz w:val="23"/>
                <w:szCs w:val="23"/>
              </w:rPr>
              <w:t>У разі відхилення тендерної пропозиції з підстави, визначеної підпунктом 3 пункту 4</w:t>
            </w:r>
            <w:r w:rsidR="00CA5E1B">
              <w:rPr>
                <w:color w:val="000000"/>
                <w:sz w:val="23"/>
                <w:szCs w:val="23"/>
                <w:lang w:val="uk-UA"/>
              </w:rPr>
              <w:t>4</w:t>
            </w:r>
            <w:r w:rsidR="00EC243F" w:rsidRPr="00EC243F">
              <w:rPr>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1C349233"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BD9E" w14:textId="77777777" w:rsidR="00EF50F4" w:rsidRDefault="00EF50F4">
      <w:r>
        <w:separator/>
      </w:r>
    </w:p>
  </w:endnote>
  <w:endnote w:type="continuationSeparator" w:id="0">
    <w:p w14:paraId="7442D0AD" w14:textId="77777777" w:rsidR="00EF50F4" w:rsidRDefault="00EF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30B9" w14:textId="77777777" w:rsidR="00EF50F4" w:rsidRDefault="00EF50F4">
      <w:r>
        <w:separator/>
      </w:r>
    </w:p>
  </w:footnote>
  <w:footnote w:type="continuationSeparator" w:id="0">
    <w:p w14:paraId="7D981359" w14:textId="77777777" w:rsidR="00EF50F4" w:rsidRDefault="00EF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8F2"/>
    <w:multiLevelType w:val="hybridMultilevel"/>
    <w:tmpl w:val="587E5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972"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15"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CEE01A5"/>
    <w:multiLevelType w:val="hybridMultilevel"/>
    <w:tmpl w:val="17DA6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1711CE"/>
    <w:multiLevelType w:val="hybridMultilevel"/>
    <w:tmpl w:val="E7E4A966"/>
    <w:lvl w:ilvl="0" w:tplc="37D8C4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3890203F"/>
    <w:multiLevelType w:val="multilevel"/>
    <w:tmpl w:val="B37AFFF4"/>
    <w:lvl w:ilvl="0">
      <w:start w:val="1"/>
      <w:numFmt w:val="decimal"/>
      <w:lvlText w:val="%1."/>
      <w:lvlJc w:val="left"/>
      <w:pPr>
        <w:ind w:left="360" w:hanging="360"/>
      </w:pPr>
      <w:rPr>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7"/>
  </w:num>
  <w:num w:numId="4">
    <w:abstractNumId w:val="41"/>
  </w:num>
  <w:num w:numId="5">
    <w:abstractNumId w:val="18"/>
  </w:num>
  <w:num w:numId="6">
    <w:abstractNumId w:val="0"/>
  </w:num>
  <w:num w:numId="7">
    <w:abstractNumId w:val="38"/>
  </w:num>
  <w:num w:numId="8">
    <w:abstractNumId w:val="6"/>
  </w:num>
  <w:num w:numId="9">
    <w:abstractNumId w:val="45"/>
  </w:num>
  <w:num w:numId="10">
    <w:abstractNumId w:val="12"/>
  </w:num>
  <w:num w:numId="11">
    <w:abstractNumId w:val="39"/>
  </w:num>
  <w:num w:numId="12">
    <w:abstractNumId w:val="15"/>
  </w:num>
  <w:num w:numId="13">
    <w:abstractNumId w:val="4"/>
  </w:num>
  <w:num w:numId="14">
    <w:abstractNumId w:val="36"/>
  </w:num>
  <w:num w:numId="15">
    <w:abstractNumId w:val="48"/>
  </w:num>
  <w:num w:numId="16">
    <w:abstractNumId w:val="23"/>
  </w:num>
  <w:num w:numId="17">
    <w:abstractNumId w:val="44"/>
  </w:num>
  <w:num w:numId="18">
    <w:abstractNumId w:val="20"/>
  </w:num>
  <w:num w:numId="19">
    <w:abstractNumId w:val="35"/>
  </w:num>
  <w:num w:numId="20">
    <w:abstractNumId w:val="42"/>
  </w:num>
  <w:num w:numId="21">
    <w:abstractNumId w:val="27"/>
  </w:num>
  <w:num w:numId="22">
    <w:abstractNumId w:val="9"/>
  </w:num>
  <w:num w:numId="23">
    <w:abstractNumId w:val="46"/>
  </w:num>
  <w:num w:numId="24">
    <w:abstractNumId w:val="34"/>
  </w:num>
  <w:num w:numId="25">
    <w:abstractNumId w:val="30"/>
  </w:num>
  <w:num w:numId="26">
    <w:abstractNumId w:val="25"/>
  </w:num>
  <w:num w:numId="27">
    <w:abstractNumId w:val="26"/>
  </w:num>
  <w:num w:numId="28">
    <w:abstractNumId w:val="43"/>
  </w:num>
  <w:num w:numId="29">
    <w:abstractNumId w:val="33"/>
  </w:num>
  <w:num w:numId="30">
    <w:abstractNumId w:val="16"/>
  </w:num>
  <w:num w:numId="31">
    <w:abstractNumId w:val="11"/>
  </w:num>
  <w:num w:numId="32">
    <w:abstractNumId w:val="28"/>
  </w:num>
  <w:num w:numId="33">
    <w:abstractNumId w:val="47"/>
  </w:num>
  <w:num w:numId="34">
    <w:abstractNumId w:val="3"/>
  </w:num>
  <w:num w:numId="35">
    <w:abstractNumId w:val="5"/>
  </w:num>
  <w:num w:numId="36">
    <w:abstractNumId w:val="22"/>
  </w:num>
  <w:num w:numId="37">
    <w:abstractNumId w:val="13"/>
  </w:num>
  <w:num w:numId="38">
    <w:abstractNumId w:val="32"/>
  </w:num>
  <w:num w:numId="39">
    <w:abstractNumId w:val="1"/>
  </w:num>
  <w:num w:numId="40">
    <w:abstractNumId w:val="10"/>
  </w:num>
  <w:num w:numId="41">
    <w:abstractNumId w:val="31"/>
  </w:num>
  <w:num w:numId="42">
    <w:abstractNumId w:val="8"/>
  </w:num>
  <w:num w:numId="43">
    <w:abstractNumId w:val="49"/>
  </w:num>
  <w:num w:numId="44">
    <w:abstractNumId w:val="21"/>
  </w:num>
  <w:num w:numId="45">
    <w:abstractNumId w:val="24"/>
  </w:num>
  <w:num w:numId="46">
    <w:abstractNumId w:val="14"/>
  </w:num>
  <w:num w:numId="47">
    <w:abstractNumId w:val="17"/>
  </w:num>
  <w:num w:numId="48">
    <w:abstractNumId w:val="7"/>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3B37"/>
    <w:rsid w:val="0007464E"/>
    <w:rsid w:val="000747C4"/>
    <w:rsid w:val="000747FB"/>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0775"/>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610"/>
    <w:rsid w:val="000E073B"/>
    <w:rsid w:val="000E15FB"/>
    <w:rsid w:val="000E1D93"/>
    <w:rsid w:val="000E2A1C"/>
    <w:rsid w:val="000E2E3E"/>
    <w:rsid w:val="000E3164"/>
    <w:rsid w:val="000E35F7"/>
    <w:rsid w:val="000E3E2D"/>
    <w:rsid w:val="000E42FE"/>
    <w:rsid w:val="000E4403"/>
    <w:rsid w:val="000E450F"/>
    <w:rsid w:val="000E4568"/>
    <w:rsid w:val="000E467C"/>
    <w:rsid w:val="000E6103"/>
    <w:rsid w:val="000E6199"/>
    <w:rsid w:val="000E6DC9"/>
    <w:rsid w:val="000E726B"/>
    <w:rsid w:val="000E7550"/>
    <w:rsid w:val="000F0730"/>
    <w:rsid w:val="000F0E85"/>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5DE"/>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878"/>
    <w:rsid w:val="00150264"/>
    <w:rsid w:val="00151838"/>
    <w:rsid w:val="00151C7E"/>
    <w:rsid w:val="00151DC1"/>
    <w:rsid w:val="00151F95"/>
    <w:rsid w:val="0015232D"/>
    <w:rsid w:val="00152453"/>
    <w:rsid w:val="00153245"/>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3AF"/>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5A92"/>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2447"/>
    <w:rsid w:val="001D24F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12C"/>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38F3"/>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2F7D"/>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7762D"/>
    <w:rsid w:val="0028000F"/>
    <w:rsid w:val="002807B0"/>
    <w:rsid w:val="00282429"/>
    <w:rsid w:val="002832E3"/>
    <w:rsid w:val="00284A8F"/>
    <w:rsid w:val="00284CD8"/>
    <w:rsid w:val="00285DC3"/>
    <w:rsid w:val="002865DF"/>
    <w:rsid w:val="00286AE9"/>
    <w:rsid w:val="002876A8"/>
    <w:rsid w:val="00290CB7"/>
    <w:rsid w:val="00291640"/>
    <w:rsid w:val="00292B7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065"/>
    <w:rsid w:val="003002D3"/>
    <w:rsid w:val="00300464"/>
    <w:rsid w:val="00300814"/>
    <w:rsid w:val="003016F7"/>
    <w:rsid w:val="00301735"/>
    <w:rsid w:val="00301E50"/>
    <w:rsid w:val="00303003"/>
    <w:rsid w:val="003034F1"/>
    <w:rsid w:val="00303998"/>
    <w:rsid w:val="00304685"/>
    <w:rsid w:val="00305178"/>
    <w:rsid w:val="003055E1"/>
    <w:rsid w:val="00305907"/>
    <w:rsid w:val="00305CF5"/>
    <w:rsid w:val="003060A1"/>
    <w:rsid w:val="0030652E"/>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045"/>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5312"/>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5AB"/>
    <w:rsid w:val="003A67CC"/>
    <w:rsid w:val="003A6D3F"/>
    <w:rsid w:val="003A7B7C"/>
    <w:rsid w:val="003A7C9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773"/>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66E"/>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3384"/>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19A4"/>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8B8"/>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0FA"/>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35E"/>
    <w:rsid w:val="00546D33"/>
    <w:rsid w:val="00547111"/>
    <w:rsid w:val="005474D0"/>
    <w:rsid w:val="00547565"/>
    <w:rsid w:val="005509E9"/>
    <w:rsid w:val="00550C41"/>
    <w:rsid w:val="005512C9"/>
    <w:rsid w:val="0055189B"/>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05"/>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37A"/>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38D"/>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121"/>
    <w:rsid w:val="00640330"/>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4E4"/>
    <w:rsid w:val="00655543"/>
    <w:rsid w:val="006562A5"/>
    <w:rsid w:val="006577E7"/>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5D35"/>
    <w:rsid w:val="0069661B"/>
    <w:rsid w:val="006A1A4B"/>
    <w:rsid w:val="006A1AAE"/>
    <w:rsid w:val="006A27AC"/>
    <w:rsid w:val="006A2CAC"/>
    <w:rsid w:val="006A3033"/>
    <w:rsid w:val="006A319F"/>
    <w:rsid w:val="006A343B"/>
    <w:rsid w:val="006A3D17"/>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38A3"/>
    <w:rsid w:val="006B50F5"/>
    <w:rsid w:val="006B51A8"/>
    <w:rsid w:val="006B5330"/>
    <w:rsid w:val="006B555C"/>
    <w:rsid w:val="006B5DE7"/>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013"/>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0BE8"/>
    <w:rsid w:val="00730CCB"/>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19E0"/>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6CD"/>
    <w:rsid w:val="00783B57"/>
    <w:rsid w:val="0078424A"/>
    <w:rsid w:val="00784DFC"/>
    <w:rsid w:val="00785337"/>
    <w:rsid w:val="00785463"/>
    <w:rsid w:val="00785552"/>
    <w:rsid w:val="00785B3A"/>
    <w:rsid w:val="00786138"/>
    <w:rsid w:val="007862E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3C64"/>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079"/>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5B2B"/>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4A9E"/>
    <w:rsid w:val="00895640"/>
    <w:rsid w:val="00896A8A"/>
    <w:rsid w:val="0089725A"/>
    <w:rsid w:val="0089752E"/>
    <w:rsid w:val="00897B54"/>
    <w:rsid w:val="008A03D8"/>
    <w:rsid w:val="008A0EAD"/>
    <w:rsid w:val="008A0F74"/>
    <w:rsid w:val="008A0FA3"/>
    <w:rsid w:val="008A1725"/>
    <w:rsid w:val="008A2D1A"/>
    <w:rsid w:val="008A2DF4"/>
    <w:rsid w:val="008A422A"/>
    <w:rsid w:val="008A4808"/>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69AB"/>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6E23"/>
    <w:rsid w:val="008C705F"/>
    <w:rsid w:val="008C7D74"/>
    <w:rsid w:val="008D003A"/>
    <w:rsid w:val="008D09A6"/>
    <w:rsid w:val="008D1DBD"/>
    <w:rsid w:val="008D1EDD"/>
    <w:rsid w:val="008D39E9"/>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3D15"/>
    <w:rsid w:val="008F5E1B"/>
    <w:rsid w:val="008F6872"/>
    <w:rsid w:val="008F69F7"/>
    <w:rsid w:val="008F6C3B"/>
    <w:rsid w:val="008F6D69"/>
    <w:rsid w:val="008F6E12"/>
    <w:rsid w:val="008F7567"/>
    <w:rsid w:val="008F7833"/>
    <w:rsid w:val="008F7E71"/>
    <w:rsid w:val="00900F25"/>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04C"/>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3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DDE"/>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2BF4"/>
    <w:rsid w:val="0098301F"/>
    <w:rsid w:val="00983234"/>
    <w:rsid w:val="009832CE"/>
    <w:rsid w:val="00983727"/>
    <w:rsid w:val="009847DF"/>
    <w:rsid w:val="0098485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97"/>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11B"/>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1C20"/>
    <w:rsid w:val="00A0270B"/>
    <w:rsid w:val="00A02CAF"/>
    <w:rsid w:val="00A02DAB"/>
    <w:rsid w:val="00A03119"/>
    <w:rsid w:val="00A041AB"/>
    <w:rsid w:val="00A044FC"/>
    <w:rsid w:val="00A0460E"/>
    <w:rsid w:val="00A04E53"/>
    <w:rsid w:val="00A053CF"/>
    <w:rsid w:val="00A05DB4"/>
    <w:rsid w:val="00A06429"/>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54EC"/>
    <w:rsid w:val="00A35620"/>
    <w:rsid w:val="00A365DC"/>
    <w:rsid w:val="00A368F9"/>
    <w:rsid w:val="00A36AD3"/>
    <w:rsid w:val="00A376DD"/>
    <w:rsid w:val="00A401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339"/>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7748F"/>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425"/>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32E"/>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DAD"/>
    <w:rsid w:val="00B40E18"/>
    <w:rsid w:val="00B41279"/>
    <w:rsid w:val="00B42EB3"/>
    <w:rsid w:val="00B43D3E"/>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D8E"/>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B5"/>
    <w:rsid w:val="00BF1ECD"/>
    <w:rsid w:val="00BF2562"/>
    <w:rsid w:val="00BF2876"/>
    <w:rsid w:val="00BF335A"/>
    <w:rsid w:val="00BF33D0"/>
    <w:rsid w:val="00BF3B9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6FA7"/>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474E"/>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316"/>
    <w:rsid w:val="00C55DD4"/>
    <w:rsid w:val="00C56410"/>
    <w:rsid w:val="00C56747"/>
    <w:rsid w:val="00C5775C"/>
    <w:rsid w:val="00C6035C"/>
    <w:rsid w:val="00C60463"/>
    <w:rsid w:val="00C6115F"/>
    <w:rsid w:val="00C614A4"/>
    <w:rsid w:val="00C61542"/>
    <w:rsid w:val="00C6159E"/>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978F1"/>
    <w:rsid w:val="00CA0D84"/>
    <w:rsid w:val="00CA0DA4"/>
    <w:rsid w:val="00CA1C6B"/>
    <w:rsid w:val="00CA24CD"/>
    <w:rsid w:val="00CA28A6"/>
    <w:rsid w:val="00CA296B"/>
    <w:rsid w:val="00CA3196"/>
    <w:rsid w:val="00CA3CC5"/>
    <w:rsid w:val="00CA3E0B"/>
    <w:rsid w:val="00CA41F2"/>
    <w:rsid w:val="00CA480B"/>
    <w:rsid w:val="00CA4B89"/>
    <w:rsid w:val="00CA4CE7"/>
    <w:rsid w:val="00CA5E1B"/>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355"/>
    <w:rsid w:val="00CC74C5"/>
    <w:rsid w:val="00CC7A5B"/>
    <w:rsid w:val="00CC7A6E"/>
    <w:rsid w:val="00CC7B9B"/>
    <w:rsid w:val="00CD048E"/>
    <w:rsid w:val="00CD0947"/>
    <w:rsid w:val="00CD0B06"/>
    <w:rsid w:val="00CD1300"/>
    <w:rsid w:val="00CD1308"/>
    <w:rsid w:val="00CD19AD"/>
    <w:rsid w:val="00CD2D8E"/>
    <w:rsid w:val="00CD33F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142F"/>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6E8"/>
    <w:rsid w:val="00D35E57"/>
    <w:rsid w:val="00D36BF5"/>
    <w:rsid w:val="00D37574"/>
    <w:rsid w:val="00D377B8"/>
    <w:rsid w:val="00D40498"/>
    <w:rsid w:val="00D42BF1"/>
    <w:rsid w:val="00D44173"/>
    <w:rsid w:val="00D442B2"/>
    <w:rsid w:val="00D4492F"/>
    <w:rsid w:val="00D45618"/>
    <w:rsid w:val="00D4564D"/>
    <w:rsid w:val="00D460CC"/>
    <w:rsid w:val="00D46ECF"/>
    <w:rsid w:val="00D4786A"/>
    <w:rsid w:val="00D47F5C"/>
    <w:rsid w:val="00D50903"/>
    <w:rsid w:val="00D51271"/>
    <w:rsid w:val="00D5255C"/>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B00"/>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6447"/>
    <w:rsid w:val="00E17BDC"/>
    <w:rsid w:val="00E2082E"/>
    <w:rsid w:val="00E20CE2"/>
    <w:rsid w:val="00E20E33"/>
    <w:rsid w:val="00E212DC"/>
    <w:rsid w:val="00E2168E"/>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38"/>
    <w:rsid w:val="00E31167"/>
    <w:rsid w:val="00E312CE"/>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6E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0F4"/>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1AA"/>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0FE8"/>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5C03"/>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07"/>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268"/>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1E15"/>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962"/>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CA bullets,EBRD List,Chapter10,название табл/рис"/>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b">
    <w:name w:val="annotation reference"/>
    <w:basedOn w:val="a0"/>
    <w:semiHidden/>
    <w:unhideWhenUsed/>
    <w:rsid w:val="007C3C70"/>
    <w:rPr>
      <w:sz w:val="16"/>
      <w:szCs w:val="16"/>
    </w:rPr>
  </w:style>
  <w:style w:type="character" w:customStyle="1" w:styleId="a8">
    <w:name w:val="Абзац списка Знак"/>
    <w:aliases w:val="Number Bullets Знак,Список уровня 2 Знак,CA bullets Знак,EBRD List Знак,Chapter10 Знак,название табл/рис Знак"/>
    <w:link w:val="a7"/>
    <w:uiPriority w:val="34"/>
    <w:rsid w:val="00AA0425"/>
    <w:rPr>
      <w:lang w:val="uk-UA"/>
    </w:rPr>
  </w:style>
  <w:style w:type="paragraph" w:customStyle="1" w:styleId="19">
    <w:name w:val="Звичайний1"/>
    <w:rsid w:val="00D460CC"/>
    <w:pPr>
      <w:pBdr>
        <w:top w:val="nil"/>
        <w:left w:val="nil"/>
        <w:bottom w:val="nil"/>
        <w:right w:val="nil"/>
        <w:between w:val="nil"/>
        <w:bar w:val="nil"/>
      </w:pBdr>
      <w:suppressAutoHyphens/>
    </w:pPr>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1656-80A2-49BC-9FE5-0207222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8191</Words>
  <Characters>46694</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54776</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4</cp:revision>
  <cp:lastPrinted>2022-11-14T08:19:00Z</cp:lastPrinted>
  <dcterms:created xsi:type="dcterms:W3CDTF">2024-01-19T07:18:00Z</dcterms:created>
  <dcterms:modified xsi:type="dcterms:W3CDTF">2024-01-19T11:56:00Z</dcterms:modified>
</cp:coreProperties>
</file>