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Таращанський геріатричний пансіонат</w:t>
      </w:r>
    </w:p>
    <w:p>
      <w:pPr>
        <w:jc w:val="center"/>
        <w:rPr>
          <w:rFonts w:ascii="Times New Roman" w:hAnsi="Times New Roman" w:cs="Times New Roman"/>
          <w:b/>
          <w:bCs/>
          <w:sz w:val="28"/>
          <w:szCs w:val="28"/>
        </w:rPr>
      </w:pPr>
    </w:p>
    <w:p>
      <w:pPr>
        <w:spacing w:after="0" w:line="240" w:lineRule="auto"/>
        <w:ind w:left="-1418"/>
        <w:jc w:val="right"/>
        <w:rPr>
          <w:rFonts w:ascii="Times New Roman" w:hAnsi="Times New Roman" w:cs="Times New Roman"/>
          <w:b/>
          <w:color w:val="000000"/>
          <w:sz w:val="24"/>
          <w:szCs w:val="24"/>
        </w:rPr>
      </w:pPr>
    </w:p>
    <w:p>
      <w:pPr>
        <w:spacing w:after="0" w:line="240" w:lineRule="auto"/>
        <w:ind w:left="-1418"/>
        <w:jc w:val="right"/>
        <w:rPr>
          <w:rFonts w:ascii="Times New Roman" w:hAnsi="Times New Roman" w:cs="Times New Roman"/>
          <w:b/>
          <w:color w:val="000000"/>
          <w:sz w:val="24"/>
          <w:szCs w:val="24"/>
        </w:rPr>
      </w:pPr>
    </w:p>
    <w:p>
      <w:pPr>
        <w:spacing w:after="0" w:line="240" w:lineRule="auto"/>
        <w:ind w:left="-1418"/>
        <w:jc w:val="right"/>
        <w:rPr>
          <w:rFonts w:ascii="Times New Roman" w:hAnsi="Times New Roman" w:eastAsia="Arial" w:cs="Times New Roman"/>
          <w:b/>
          <w:color w:val="000000"/>
          <w:sz w:val="24"/>
          <w:szCs w:val="24"/>
          <w:lang w:val="ru-RU"/>
        </w:rPr>
      </w:pPr>
      <w:r>
        <w:rPr>
          <w:rFonts w:ascii="Times New Roman" w:hAnsi="Times New Roman" w:eastAsia="Arial" w:cs="Times New Roman"/>
          <w:b/>
          <w:color w:val="000000"/>
          <w:sz w:val="24"/>
          <w:szCs w:val="24"/>
          <w:lang w:eastAsia="en-US"/>
        </w:rPr>
        <w:t>«ЗАТВЕРДЖЕНО»</w:t>
      </w:r>
    </w:p>
    <w:p>
      <w:pPr>
        <w:spacing w:after="0" w:line="240" w:lineRule="auto"/>
        <w:ind w:left="4253"/>
        <w:jc w:val="right"/>
        <w:rPr>
          <w:rFonts w:ascii="Times New Roman" w:hAnsi="Times New Roman" w:eastAsia="Arial" w:cs="Times New Roman"/>
          <w:b/>
          <w:color w:val="000000"/>
          <w:sz w:val="24"/>
          <w:szCs w:val="24"/>
          <w:lang w:eastAsia="en-US"/>
        </w:rPr>
      </w:pPr>
      <w:r>
        <w:rPr>
          <w:rFonts w:ascii="Times New Roman" w:hAnsi="Times New Roman" w:eastAsia="Arial" w:cs="Times New Roman"/>
          <w:b/>
          <w:color w:val="000000"/>
          <w:sz w:val="24"/>
          <w:szCs w:val="24"/>
          <w:lang w:eastAsia="en-US"/>
        </w:rPr>
        <w:t>Рішенням Уповноваженої особи</w:t>
      </w:r>
    </w:p>
    <w:p>
      <w:pPr>
        <w:spacing w:after="0" w:line="240" w:lineRule="auto"/>
        <w:ind w:left="-1418"/>
        <w:jc w:val="right"/>
        <w:rPr>
          <w:rFonts w:hint="default" w:ascii="Times New Roman" w:hAnsi="Times New Roman" w:cs="Times New Roman"/>
          <w:b/>
          <w:sz w:val="24"/>
          <w:szCs w:val="24"/>
          <w:lang w:val="en-US"/>
        </w:rPr>
      </w:pPr>
      <w:r>
        <w:rPr>
          <w:rFonts w:ascii="Times New Roman" w:hAnsi="Times New Roman" w:eastAsia="Arial" w:cs="Times New Roman"/>
          <w:b/>
          <w:sz w:val="24"/>
          <w:szCs w:val="24"/>
          <w:lang w:eastAsia="en-US"/>
        </w:rPr>
        <w:t xml:space="preserve">від </w:t>
      </w:r>
      <w:r>
        <w:rPr>
          <w:rFonts w:hint="default" w:ascii="Times New Roman" w:hAnsi="Times New Roman" w:eastAsia="Arial" w:cs="Times New Roman"/>
          <w:b/>
          <w:sz w:val="24"/>
          <w:szCs w:val="24"/>
          <w:lang w:val="en-US" w:eastAsia="en-US"/>
        </w:rPr>
        <w:t>28</w:t>
      </w:r>
      <w:r>
        <w:rPr>
          <w:rFonts w:ascii="Times New Roman" w:hAnsi="Times New Roman" w:eastAsia="Arial" w:cs="Times New Roman"/>
          <w:b/>
          <w:sz w:val="24"/>
          <w:szCs w:val="24"/>
          <w:lang w:eastAsia="en-US"/>
        </w:rPr>
        <w:t>.</w:t>
      </w:r>
      <w:r>
        <w:rPr>
          <w:rFonts w:hint="default" w:ascii="Times New Roman" w:hAnsi="Times New Roman" w:eastAsia="Arial" w:cs="Times New Roman"/>
          <w:b/>
          <w:sz w:val="24"/>
          <w:szCs w:val="24"/>
          <w:lang w:val="en-US" w:eastAsia="en-US"/>
        </w:rPr>
        <w:t>08</w:t>
      </w:r>
      <w:r>
        <w:rPr>
          <w:rFonts w:ascii="Times New Roman" w:hAnsi="Times New Roman" w:eastAsia="Arial" w:cs="Times New Roman"/>
          <w:b/>
          <w:sz w:val="24"/>
          <w:szCs w:val="24"/>
          <w:lang w:eastAsia="en-US"/>
        </w:rPr>
        <w:t xml:space="preserve">.2023р. № </w:t>
      </w:r>
      <w:r>
        <w:rPr>
          <w:rFonts w:hint="default" w:ascii="Times New Roman" w:hAnsi="Times New Roman" w:eastAsia="Arial" w:cs="Times New Roman"/>
          <w:b/>
          <w:sz w:val="24"/>
          <w:szCs w:val="24"/>
          <w:lang w:val="en-US" w:eastAsia="en-US"/>
        </w:rPr>
        <w:t>97</w:t>
      </w: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uppressAutoHyphens/>
        <w:spacing w:after="0" w:line="240" w:lineRule="auto"/>
        <w:jc w:val="center"/>
        <w:rPr>
          <w:rFonts w:ascii="Times New Roman" w:hAnsi="Times New Roman" w:cs="Times New Roman"/>
          <w:b/>
          <w:bCs/>
          <w:sz w:val="48"/>
          <w:szCs w:val="48"/>
          <w:lang w:val="ru-RU" w:eastAsia="zh-CN"/>
        </w:rPr>
      </w:pPr>
      <w:r>
        <w:rPr>
          <w:rFonts w:ascii="Times New Roman" w:hAnsi="Times New Roman" w:cs="Times New Roman"/>
          <w:b/>
          <w:bCs/>
          <w:sz w:val="48"/>
          <w:szCs w:val="48"/>
          <w:lang w:eastAsia="zh-CN"/>
        </w:rPr>
        <w:t>ТЕНДЕРНА ДОКУМЕНТАЦІЯ</w:t>
      </w:r>
    </w:p>
    <w:p>
      <w:pPr>
        <w:suppressAutoHyphens/>
        <w:spacing w:after="0" w:line="240" w:lineRule="auto"/>
        <w:jc w:val="center"/>
        <w:rPr>
          <w:rFonts w:ascii="Times New Roman" w:hAnsi="Times New Roman" w:cs="Times New Roman"/>
          <w:b/>
          <w:bCs/>
          <w:sz w:val="48"/>
          <w:szCs w:val="48"/>
          <w:lang w:eastAsia="zh-CN"/>
        </w:rPr>
      </w:pPr>
      <w:r>
        <w:rPr>
          <w:rFonts w:ascii="Times New Roman" w:hAnsi="Times New Roman" w:cs="Times New Roman"/>
          <w:b/>
          <w:bCs/>
          <w:sz w:val="48"/>
          <w:szCs w:val="48"/>
          <w:lang w:val="ru-RU" w:eastAsia="zh-CN"/>
        </w:rPr>
        <w:t xml:space="preserve">по </w:t>
      </w:r>
      <w:r>
        <w:rPr>
          <w:rFonts w:ascii="Times New Roman" w:hAnsi="Times New Roman" w:cs="Times New Roman"/>
          <w:b/>
          <w:bCs/>
          <w:sz w:val="48"/>
          <w:szCs w:val="48"/>
          <w:lang w:eastAsia="zh-CN"/>
        </w:rPr>
        <w:t xml:space="preserve">процедурі </w:t>
      </w:r>
    </w:p>
    <w:p>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b/>
          <w:bCs/>
          <w:sz w:val="48"/>
          <w:szCs w:val="48"/>
          <w:lang w:eastAsia="zh-CN"/>
        </w:rPr>
        <w:t>ВІДКРИТІ ТОРГИ (з особливостями)</w:t>
      </w:r>
    </w:p>
    <w:p>
      <w:pPr>
        <w:spacing w:after="0" w:line="240" w:lineRule="auto"/>
        <w:rPr>
          <w:rFonts w:ascii="Times New Roman" w:hAnsi="Times New Roman" w:cs="Times New Roman"/>
          <w:b/>
          <w:color w:val="000000"/>
          <w:sz w:val="24"/>
          <w:szCs w:val="24"/>
        </w:rPr>
      </w:pPr>
    </w:p>
    <w:p>
      <w:pPr>
        <w:spacing w:before="240" w:after="240" w:line="240" w:lineRule="auto"/>
        <w:jc w:val="center"/>
        <w:rPr>
          <w:rFonts w:ascii="Times New Roman" w:hAnsi="Times New Roman" w:cs="Times New Roman"/>
          <w:color w:val="000000"/>
          <w:sz w:val="40"/>
          <w:szCs w:val="40"/>
        </w:rPr>
      </w:pPr>
      <w:r>
        <w:rPr>
          <w:rFonts w:ascii="Times New Roman" w:hAnsi="Times New Roman" w:cs="Times New Roman"/>
          <w:color w:val="000000"/>
          <w:sz w:val="40"/>
          <w:szCs w:val="40"/>
        </w:rPr>
        <w:t>на закупівлю товару:</w:t>
      </w:r>
    </w:p>
    <w:p>
      <w:pPr>
        <w:spacing w:after="240"/>
        <w:jc w:val="center"/>
        <w:rPr>
          <w:rFonts w:ascii="Times New Roman" w:hAnsi="Times New Roman" w:cs="Times New Roman"/>
          <w:b/>
          <w:color w:val="000000"/>
          <w:sz w:val="40"/>
          <w:szCs w:val="40"/>
          <w:lang w:eastAsia="zh-CN"/>
        </w:rPr>
      </w:pPr>
      <w:r>
        <w:rPr>
          <w:rFonts w:ascii="Times New Roman" w:hAnsi="Times New Roman" w:cs="Times New Roman"/>
          <w:b/>
          <w:color w:val="000000"/>
          <w:sz w:val="40"/>
          <w:szCs w:val="40"/>
        </w:rPr>
        <w:t>код ДК 021:2015: 15610000-7 — Продукція борошномельно-круп'яної промисловості</w:t>
      </w:r>
      <w:r>
        <w:rPr>
          <w:rFonts w:ascii="Times New Roman" w:hAnsi="Times New Roman" w:cs="Times New Roman"/>
          <w:b/>
          <w:color w:val="000000"/>
          <w:sz w:val="40"/>
          <w:szCs w:val="40"/>
          <w:lang w:eastAsia="zh-CN"/>
        </w:rPr>
        <w:t xml:space="preserve"> </w:t>
      </w:r>
    </w:p>
    <w:p>
      <w:pPr>
        <w:spacing w:after="0"/>
        <w:jc w:val="center"/>
        <w:rPr>
          <w:rStyle w:val="38"/>
          <w:rFonts w:ascii="Times New Roman" w:hAnsi="Times New Roman" w:cs="Times New Roman"/>
          <w:b/>
          <w:sz w:val="28"/>
          <w:szCs w:val="28"/>
          <w:lang w:val="ru-RU"/>
        </w:rPr>
      </w:pPr>
      <w:r>
        <w:rPr>
          <w:rStyle w:val="38"/>
          <w:rFonts w:ascii="Times New Roman" w:hAnsi="Times New Roman" w:cs="Times New Roman"/>
          <w:b/>
          <w:sz w:val="28"/>
          <w:szCs w:val="28"/>
        </w:rPr>
        <w:t>(борошно пшеничне вищий ґатунок)</w:t>
      </w:r>
      <w:r>
        <w:rPr>
          <w:rStyle w:val="38"/>
          <w:rFonts w:ascii="Times New Roman" w:hAnsi="Times New Roman" w:cs="Times New Roman"/>
          <w:b/>
          <w:sz w:val="28"/>
          <w:szCs w:val="28"/>
          <w:lang w:val="ru-RU"/>
        </w:rPr>
        <w:t xml:space="preserve"> </w:t>
      </w:r>
    </w:p>
    <w:p>
      <w:pPr>
        <w:spacing w:after="0"/>
        <w:jc w:val="center"/>
        <w:rPr>
          <w:rFonts w:ascii="Times New Roman" w:hAnsi="Times New Roman" w:cs="Times New Roman"/>
          <w:b/>
          <w:sz w:val="28"/>
          <w:szCs w:val="28"/>
          <w:lang w:val="ru-RU"/>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color w:val="000000"/>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cs="Times New Roman"/>
          <w:sz w:val="32"/>
          <w:szCs w:val="32"/>
        </w:rPr>
      </w:pPr>
      <w:r>
        <w:rPr>
          <w:rFonts w:ascii="Times New Roman" w:hAnsi="Times New Roman" w:cs="Times New Roman"/>
          <w:sz w:val="32"/>
          <w:szCs w:val="32"/>
          <w:lang w:val="ru-RU"/>
        </w:rPr>
        <w:t>с. Чернин</w:t>
      </w:r>
      <w:r>
        <w:rPr>
          <w:rFonts w:ascii="Times New Roman" w:hAnsi="Times New Roman" w:cs="Times New Roman"/>
          <w:sz w:val="32"/>
          <w:szCs w:val="32"/>
        </w:rPr>
        <w:t xml:space="preserve"> </w:t>
      </w:r>
      <w:r>
        <w:rPr>
          <w:rFonts w:ascii="Times New Roman" w:hAnsi="Times New Roman" w:cs="Times New Roman"/>
          <w:sz w:val="32"/>
          <w:szCs w:val="32"/>
          <w:lang w:val="ru-RU"/>
        </w:rPr>
        <w:t xml:space="preserve">– </w:t>
      </w:r>
      <w:r>
        <w:rPr>
          <w:rFonts w:ascii="Times New Roman" w:hAnsi="Times New Roman" w:cs="Times New Roman"/>
          <w:sz w:val="32"/>
          <w:szCs w:val="32"/>
        </w:rPr>
        <w:t>202</w:t>
      </w:r>
      <w:r>
        <w:rPr>
          <w:rFonts w:ascii="Times New Roman" w:hAnsi="Times New Roman" w:cs="Times New Roman"/>
          <w:sz w:val="32"/>
          <w:szCs w:val="32"/>
          <w:lang w:val="ru-RU"/>
        </w:rPr>
        <w:t>3</w:t>
      </w:r>
      <w:r>
        <w:rPr>
          <w:rFonts w:ascii="Times New Roman" w:hAnsi="Times New Roman" w:cs="Times New Roman"/>
          <w:sz w:val="32"/>
          <w:szCs w:val="32"/>
        </w:rPr>
        <w:t xml:space="preserve"> рік</w:t>
      </w:r>
    </w:p>
    <w:p>
      <w:pPr>
        <w:spacing w:before="240" w:after="0" w:line="240" w:lineRule="auto"/>
        <w:jc w:val="center"/>
        <w:rPr>
          <w:rFonts w:ascii="Times New Roman" w:hAnsi="Times New Roman" w:cs="Times New Roman"/>
          <w:sz w:val="32"/>
          <w:szCs w:val="32"/>
        </w:rPr>
      </w:pPr>
    </w:p>
    <w:tbl>
      <w:tblPr>
        <w:tblStyle w:val="37"/>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bookmarkStart w:id="0" w:name="_heading=h.1fob9te" w:colFirst="0" w:colLast="0"/>
            <w:bookmarkEnd w:id="0"/>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5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50" w:type="dxa"/>
          </w:tcPr>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Pr>
              <w:t xml:space="preserve">«Про публічні закупівлі» (далі </w:t>
            </w:r>
            <w:r>
              <w:rPr>
                <w:rFonts w:ascii="Times New Roman" w:hAnsi="Times New Roman" w:eastAsia="Times New Roman" w:cs="Times New Roman"/>
                <w:sz w:val="24"/>
                <w:szCs w:val="24"/>
                <w:highlight w:val="white"/>
              </w:rPr>
              <w:t>—</w:t>
            </w:r>
            <w:r>
              <w:rPr>
                <w:rFonts w:ascii="Times New Roman" w:hAnsi="Times New Roman" w:eastAsia="Times New Roman" w:cs="Times New Roman"/>
                <w:color w:val="000000"/>
                <w:sz w:val="24"/>
                <w:szCs w:val="24"/>
                <w:highlight w:val="white"/>
              </w:rPr>
              <w:t xml:space="preserve"> Закон)</w:t>
            </w:r>
            <w:r>
              <w:rPr>
                <w:rFonts w:ascii="Times New Roman" w:hAnsi="Times New Roman" w:eastAsia="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50" w:type="dxa"/>
          </w:tcPr>
          <w:p>
            <w:pPr>
              <w:spacing w:after="0" w:line="240" w:lineRule="auto"/>
              <w:jc w:val="both"/>
              <w:rPr>
                <w:rFonts w:ascii="Times New Roman" w:hAnsi="Times New Roman" w:eastAsia="Times New Roman" w:cs="Times New Roman"/>
                <w:i/>
                <w:sz w:val="24"/>
                <w:szCs w:val="24"/>
              </w:rPr>
            </w:pPr>
            <w:r>
              <w:rPr>
                <w:rFonts w:ascii="Times New Roman" w:hAnsi="Times New Roman" w:cs="Times New Roman"/>
                <w:b/>
                <w:bCs/>
                <w:color w:val="000000"/>
                <w:sz w:val="24"/>
                <w:szCs w:val="24"/>
              </w:rPr>
              <w:t>Таращанський геріатричний пансіонат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50" w:type="dxa"/>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cs="Times New Roman"/>
                <w:b/>
                <w:sz w:val="24"/>
                <w:szCs w:val="24"/>
              </w:rPr>
              <w:t>вул. Лобківка,22 с.Чернин, Білоцерківський район, Київська обл., поштовий індекс 09511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Кареліна Наталія Олександрівна, фах</w:t>
            </w:r>
            <w:r>
              <w:rPr>
                <w:rFonts w:ascii="Times New Roman" w:hAnsi="Times New Roman" w:cs="Times New Roman"/>
                <w:color w:val="000000"/>
                <w:spacing w:val="-1"/>
                <w:sz w:val="24"/>
                <w:szCs w:val="24"/>
              </w:rPr>
              <w:t xml:space="preserve">івець з публічних закупівель, </w:t>
            </w:r>
          </w:p>
          <w:p>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lang w:val="en-US"/>
              </w:rPr>
              <w:t>e</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mail</w:t>
            </w:r>
            <w:r>
              <w:rPr>
                <w:rFonts w:ascii="Times New Roman" w:hAnsi="Times New Roman" w:cs="Times New Roman"/>
                <w:color w:val="000000"/>
                <w:spacing w:val="-1"/>
                <w:sz w:val="24"/>
                <w:szCs w:val="24"/>
              </w:rPr>
              <w:t>:</w:t>
            </w:r>
            <w:r>
              <w:t xml:space="preserve"> </w:t>
            </w:r>
            <w:r>
              <w:rPr>
                <w:rFonts w:ascii="Times New Roman" w:hAnsi="Times New Roman" w:cs="Times New Roman"/>
                <w:color w:val="000000"/>
                <w:spacing w:val="-1"/>
                <w:sz w:val="24"/>
                <w:szCs w:val="24"/>
              </w:rPr>
              <w:t>tbip@i.ua</w:t>
            </w:r>
          </w:p>
          <w:p>
            <w:pPr>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cs="Times New Roman"/>
                <w:color w:val="000000"/>
                <w:spacing w:val="-1"/>
                <w:sz w:val="24"/>
                <w:szCs w:val="24"/>
              </w:rPr>
              <w:t>телефон 045665-27-97;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5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0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50" w:type="dxa"/>
          </w:tcPr>
          <w:p>
            <w:pPr>
              <w:spacing w:after="0" w:line="240" w:lineRule="auto"/>
              <w:rPr>
                <w:rFonts w:ascii="Times New Roman" w:hAnsi="Times New Roman" w:cs="Times New Roman"/>
                <w:b/>
                <w:color w:val="000000"/>
                <w:sz w:val="24"/>
                <w:szCs w:val="24"/>
                <w:lang w:eastAsia="zh-CN"/>
              </w:rPr>
            </w:pPr>
            <w:r>
              <w:rPr>
                <w:rFonts w:ascii="Times New Roman" w:hAnsi="Times New Roman" w:cs="Times New Roman"/>
                <w:b/>
                <w:color w:val="000000"/>
                <w:sz w:val="24"/>
                <w:szCs w:val="24"/>
              </w:rPr>
              <w:t>код ДК 021:2015: 15610000-7 — Продукція борошномельно-круп'яної промисловості</w:t>
            </w:r>
            <w:r>
              <w:rPr>
                <w:rFonts w:ascii="Times New Roman" w:hAnsi="Times New Roman" w:cs="Times New Roman"/>
                <w:b/>
                <w:color w:val="000000"/>
                <w:sz w:val="24"/>
                <w:szCs w:val="24"/>
                <w:lang w:eastAsia="zh-CN"/>
              </w:rPr>
              <w:t xml:space="preserve">  </w:t>
            </w:r>
          </w:p>
          <w:p>
            <w:pPr>
              <w:spacing w:after="0" w:line="240" w:lineRule="auto"/>
              <w:rPr>
                <w:rFonts w:ascii="Times New Roman" w:hAnsi="Times New Roman" w:cs="Times New Roman"/>
                <w:b/>
                <w:sz w:val="28"/>
                <w:szCs w:val="28"/>
                <w:lang w:val="ru-RU"/>
              </w:rPr>
            </w:pPr>
            <w:r>
              <w:rPr>
                <w:rStyle w:val="38"/>
                <w:rFonts w:ascii="Times New Roman" w:hAnsi="Times New Roman" w:cs="Times New Roman"/>
                <w:b/>
                <w:sz w:val="24"/>
                <w:szCs w:val="24"/>
              </w:rPr>
              <w:t>(борошно пшеничне вищий ґатунок</w:t>
            </w:r>
            <w:r>
              <w:rPr>
                <w:rStyle w:val="38"/>
                <w:rFonts w:ascii="Times New Roman" w:hAnsi="Times New Roman" w:cs="Times New Roman"/>
                <w:b/>
                <w:sz w:val="24"/>
                <w:szCs w:val="24"/>
                <w:lang w:val="ru-RU"/>
              </w:rPr>
              <w:t>)</w:t>
            </w:r>
          </w:p>
          <w:p>
            <w:pPr>
              <w:spacing w:after="0" w:line="240" w:lineRule="auto"/>
              <w:rPr>
                <w:rFonts w:ascii="Times New Roman" w:hAnsi="Times New Roman" w:cs="Times New Roman"/>
                <w:b/>
                <w:sz w:val="28"/>
                <w:szCs w:val="2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0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cs="Times New Roman"/>
                <w:sz w:val="24"/>
                <w:szCs w:val="24"/>
                <w:highlight w:val="magenta"/>
              </w:rPr>
            </w:pPr>
            <w:r>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05" w:type="dxa"/>
          </w:tcPr>
          <w:p>
            <w:pPr>
              <w:widowControl w:val="0"/>
              <w:spacing w:after="0" w:line="240" w:lineRule="auto"/>
              <w:rPr>
                <w:rFonts w:ascii="Times New Roman" w:hAnsi="Times New Roman" w:eastAsia="Times New Roman" w:cs="Times New Roman"/>
                <w:color w:val="000000"/>
                <w:sz w:val="24"/>
                <w:szCs w:val="24"/>
                <w:highlight w:val="yellow"/>
              </w:rPr>
            </w:pPr>
            <w:r>
              <w:rPr>
                <w:rFonts w:ascii="Times New Roman" w:hAnsi="Times New Roman" w:cs="Times New Roman"/>
                <w:sz w:val="24"/>
                <w:szCs w:val="24"/>
              </w:rPr>
              <w:t>кількість товару та місце його поставки</w:t>
            </w:r>
          </w:p>
        </w:tc>
        <w:tc>
          <w:tcPr>
            <w:tcW w:w="6450" w:type="dxa"/>
          </w:tcPr>
          <w:p>
            <w:pPr>
              <w:spacing w:after="0" w:line="240" w:lineRule="auto"/>
              <w:rPr>
                <w:rFonts w:ascii="Times New Roman" w:hAnsi="Times New Roman" w:cs="Times New Roman"/>
                <w:b/>
                <w:sz w:val="24"/>
                <w:szCs w:val="24"/>
                <w:lang w:val="ru-RU"/>
              </w:rPr>
            </w:pPr>
            <w:r>
              <w:rPr>
                <w:rFonts w:ascii="Times New Roman" w:hAnsi="Times New Roman" w:cs="Times New Roman"/>
                <w:color w:val="000000"/>
                <w:sz w:val="24"/>
                <w:szCs w:val="24"/>
              </w:rPr>
              <w:t>Кількість</w:t>
            </w:r>
            <w:r>
              <w:rPr>
                <w:rFonts w:ascii="Times New Roman" w:hAnsi="Times New Roman" w:cs="Times New Roman"/>
                <w:color w:val="000000"/>
                <w:sz w:val="24"/>
                <w:szCs w:val="24"/>
                <w:lang w:val="ru-RU"/>
              </w:rPr>
              <w:t xml:space="preserve">: </w:t>
            </w:r>
            <w:r>
              <w:rPr>
                <w:rStyle w:val="38"/>
                <w:rFonts w:ascii="Times New Roman" w:hAnsi="Times New Roman" w:cs="Times New Roman"/>
                <w:b/>
                <w:sz w:val="24"/>
                <w:szCs w:val="24"/>
              </w:rPr>
              <w:t>борошно пшеничне вищий ґатунок – 4000кг.</w:t>
            </w:r>
          </w:p>
          <w:p>
            <w:pPr>
              <w:widowControl w:val="0"/>
              <w:spacing w:after="0" w:line="240" w:lineRule="auto"/>
              <w:ind w:right="120"/>
              <w:jc w:val="both"/>
              <w:rPr>
                <w:rFonts w:ascii="Times New Roman" w:hAnsi="Times New Roman" w:eastAsia="Times New Roman" w:cs="Times New Roman"/>
                <w:i/>
                <w:color w:val="4A86E8"/>
                <w:sz w:val="24"/>
                <w:szCs w:val="24"/>
                <w:highlight w:val="white"/>
              </w:rPr>
            </w:pPr>
            <w:r>
              <w:rPr>
                <w:rFonts w:ascii="Times New Roman" w:hAnsi="Times New Roman" w:cs="Times New Roman"/>
                <w:sz w:val="24"/>
                <w:szCs w:val="24"/>
              </w:rPr>
              <w:t xml:space="preserve">Місце поставки товарів: </w:t>
            </w:r>
            <w:r>
              <w:rPr>
                <w:rFonts w:ascii="Times New Roman" w:hAnsi="Times New Roman" w:cs="Times New Roman"/>
                <w:b/>
                <w:sz w:val="24"/>
                <w:szCs w:val="24"/>
              </w:rPr>
              <w:t>вул. Лобківка,22 с.Чернин, Білоцерківський район, Київська обл., поштовий індекс 09511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5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cs="Times New Roman"/>
                <w:color w:val="000000"/>
                <w:sz w:val="24"/>
                <w:szCs w:val="24"/>
              </w:rPr>
              <w:t>До 31.12.2023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5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5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5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5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50" w:type="dxa"/>
          </w:tcPr>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\h </w:instrText>
            </w:r>
            <w:r>
              <w:fldChar w:fldCharType="separate"/>
            </w:r>
            <w:r>
              <w:rPr>
                <w:rFonts w:ascii="Times New Roman" w:hAnsi="Times New Roman" w:eastAsia="Times New Roman" w:cs="Times New Roman"/>
                <w:sz w:val="24"/>
                <w:szCs w:val="24"/>
                <w:highlight w:val="white"/>
              </w:rPr>
              <w:t>статті 8</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5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Pr>
              <w:t xml:space="preserve">першої, четвертої, шостої та сьомої статті 26 Закону. </w:t>
            </w:r>
          </w:p>
          <w:p>
            <w:pPr>
              <w:widowControl w:val="0"/>
              <w:spacing w:after="0" w:line="240" w:lineRule="auto"/>
              <w:ind w:firstLine="21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 \l "n1261" \h </w:instrText>
            </w:r>
            <w:r>
              <w:fldChar w:fldCharType="separate"/>
            </w:r>
            <w:r>
              <w:rPr>
                <w:rFonts w:ascii="Times New Roman" w:hAnsi="Times New Roman" w:eastAsia="Times New Roman" w:cs="Times New Roman"/>
                <w:sz w:val="24"/>
                <w:szCs w:val="24"/>
                <w:highlight w:val="white"/>
              </w:rPr>
              <w:t>пункті 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щодо відсутності підстав, установлених в пункт</w:t>
            </w:r>
            <w:r>
              <w:rPr>
                <w:rFonts w:ascii="Times New Roman" w:hAnsi="Times New Roman" w:eastAsia="Times New Roman" w:cs="Times New Roman"/>
                <w:sz w:val="24"/>
                <w:szCs w:val="24"/>
                <w:highlight w:val="white"/>
              </w:rPr>
              <w:t xml:space="preserve">і 47 Особливостей, – </w:t>
            </w:r>
            <w:r>
              <w:rPr>
                <w:rFonts w:ascii="Times New Roman" w:hAnsi="Times New Roman" w:eastAsia="Times New Roman" w:cs="Times New Roman"/>
                <w:b/>
                <w:i/>
                <w:sz w:val="24"/>
                <w:szCs w:val="24"/>
                <w:highlight w:val="white"/>
              </w:rPr>
              <w:t>згідно з Додатком 1</w:t>
            </w:r>
            <w:r>
              <w:rPr>
                <w:rFonts w:ascii="Times New Roman" w:hAnsi="Times New Roman" w:eastAsia="Times New Roman" w:cs="Times New Roman"/>
                <w:sz w:val="24"/>
                <w:szCs w:val="24"/>
                <w:highlight w:val="white"/>
              </w:rPr>
              <w:t xml:space="preserve"> до цієї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 xml:space="preserve">Особливостей, - згідно з </w:t>
            </w:r>
            <w:r>
              <w:rPr>
                <w:rFonts w:ascii="Times New Roman" w:hAnsi="Times New Roman" w:eastAsia="Times New Roman" w:cs="Times New Roman"/>
                <w:b/>
                <w:i/>
                <w:sz w:val="24"/>
                <w:szCs w:val="24"/>
              </w:rPr>
              <w:t xml:space="preserve">Додатком 1 </w:t>
            </w:r>
            <w:r>
              <w:rPr>
                <w:rFonts w:ascii="Times New Roman" w:hAnsi="Times New Roman" w:eastAsia="Times New Roman" w:cs="Times New Roman"/>
                <w:sz w:val="24"/>
                <w:szCs w:val="24"/>
              </w:rPr>
              <w:t>до цієї тендерної документації</w:t>
            </w:r>
            <w:r>
              <w:rPr>
                <w:rFonts w:ascii="Times New Roman" w:hAnsi="Times New Roman" w:eastAsia="Times New Roman" w:cs="Times New Roman"/>
                <w:color w:val="00B050"/>
                <w:sz w:val="24"/>
                <w:szCs w:val="24"/>
              </w:rPr>
              <w:t>;</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сертифікати або документи, що підтверджують відповідність предмета закупівлі встановленим замовником вимогам —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Gulim" w:cs="Times New Roman"/>
                <w:sz w:val="24"/>
                <w:szCs w:val="24"/>
              </w:rPr>
              <w:t>завантаження документів та інформації з урахуванням вимог Додатків 1, 2, 3 тендерної документації;</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4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sz w:val="24"/>
                <w:szCs w:val="24"/>
              </w:rPr>
            </w:pP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випадку відсутності документа чи/або додатку в складі тендерної пропозиції учасника, яка (які) вимагались 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pPr>
              <w:widowControl w:val="0"/>
              <w:spacing w:after="0" w:line="240" w:lineRule="auto"/>
              <w:ind w:left="40" w:hanging="20"/>
              <w:jc w:val="both"/>
              <w:rPr>
                <w:rFonts w:ascii="Times New Roman" w:hAnsi="Times New Roman" w:eastAsia="Times New Roman" w:cs="Times New Roman"/>
                <w:color w:val="000000"/>
                <w:sz w:val="24"/>
                <w:szCs w:val="24"/>
              </w:rPr>
            </w:pP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color w:val="000000"/>
                <w:sz w:val="24"/>
                <w:szCs w:val="24"/>
              </w:rPr>
            </w:pPr>
            <w:bookmarkStart w:id="1" w:name="_heading=h.3znysh7" w:colFirst="0" w:colLast="0"/>
            <w:bookmarkEnd w:id="1"/>
            <w:r>
              <w:rPr>
                <w:rFonts w:ascii="Times New Roman" w:hAnsi="Times New Roman" w:eastAsia="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hAnsi="Times New Roman" w:eastAsia="Times New Roman" w:cs="Times New Roman"/>
                <w:sz w:val="24"/>
                <w:szCs w:val="24"/>
              </w:rPr>
              <w:t>сом (УЕП)</w:t>
            </w:r>
            <w:r>
              <w:rPr>
                <w:rFonts w:ascii="Times New Roman" w:hAnsi="Times New Roman" w:eastAsia="Times New Roman" w:cs="Times New Roman"/>
                <w:color w:val="000000"/>
                <w:sz w:val="24"/>
                <w:szCs w:val="24"/>
              </w:rPr>
              <w:t>;</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якщо тендерна пропозиція містить і скановані, і електронні документи, потрібно накласти КЕП / 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Винятки:</w:t>
            </w:r>
          </w:p>
          <w:p>
            <w:pP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електронні документи тендерної пропозиції видано іншою організацією і на них уже накладено КЕП / УЕП цієї організації, учаснику не потрібно накладати на нього свій КЕП / УЕП.</w:t>
            </w:r>
          </w:p>
          <w:p>
            <w:pPr>
              <w:widowControl w:val="0"/>
              <w:spacing w:after="12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120" w:line="240" w:lineRule="auto"/>
              <w:ind w:left="46" w:hanging="2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120" w:line="240" w:lineRule="auto"/>
              <w:ind w:left="46" w:hanging="2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w:t>
            </w:r>
            <w:r>
              <w:rPr>
                <w:rFonts w:ascii="Times New Roman" w:hAnsi="Times New Roman" w:eastAsia="Times New Roman" w:cs="Times New Roman"/>
                <w:sz w:val="24"/>
                <w:szCs w:val="24"/>
              </w:rPr>
              <w:t xml:space="preserve">перевіряє КЕП / УЕП учасника на сайті центрального засвідчувального органу за посиланням https://czo.gov.ua/verify. Під час перевірки КЕП / 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hAnsi="Times New Roman" w:eastAsia="Times New Roman" w:cs="Times New Roman"/>
                <w:color w:val="000000"/>
                <w:sz w:val="24"/>
                <w:szCs w:val="24"/>
              </w:rPr>
              <w:t>(шляхом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12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120" w:line="240" w:lineRule="auto"/>
              <w:jc w:val="both"/>
              <w:rPr>
                <w:rFonts w:ascii="Times New Roman" w:hAnsi="Times New Roman" w:eastAsia="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yellow"/>
              </w:rPr>
            </w:pP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pStyle w:val="24"/>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pStyle w:val="24"/>
              <w:widowControl w:val="0"/>
              <w:numPr>
                <w:ilvl w:val="0"/>
                <w:numId w:val="2"/>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погодитися з вимогою та продовжити строк дії поданої ним тендерної пропозиції.</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 xml:space="preserve">, згідно з пунктом 28 та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sz w:val="24"/>
                <w:szCs w:val="24"/>
              </w:rPr>
              <w:t>Особливостей</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120" w:line="240" w:lineRule="auto"/>
              <w:ind w:right="120" w:firstLine="48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12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Підстави, визначені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sz w:val="24"/>
                <w:szCs w:val="24"/>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Pr>
              <w:t>3</w:t>
            </w:r>
            <w:r>
              <w:rPr>
                <w:rFonts w:ascii="Times New Roman" w:hAnsi="Times New Roman" w:eastAsia="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sz w:val="24"/>
                <w:szCs w:val="24"/>
              </w:rPr>
              <w:t>пунктом 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3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Pr>
                <w:rFonts w:ascii="Times New Roman" w:hAnsi="Times New Roman" w:eastAsia="Times New Roman" w:cs="Times New Roman"/>
                <w:sz w:val="24"/>
                <w:szCs w:val="24"/>
                <w:highlight w:val="white"/>
              </w:rPr>
              <w:t>закупівель товарів, робіт і послуг згідно із Законом України “Про санкції”;</w:t>
            </w:r>
          </w:p>
          <w:p>
            <w:pPr>
              <w:spacing w:after="120" w:line="240" w:lineRule="auto"/>
              <w:ind w:firstLine="35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120" w:line="240" w:lineRule="auto"/>
              <w:ind w:firstLine="35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Інформація про субпідрядника /співвиконавця </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передбачено.</w:t>
            </w:r>
          </w:p>
          <w:p>
            <w:pPr>
              <w:widowControl w:val="0"/>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50" w:type="dxa"/>
            <w:vAlign w:val="center"/>
          </w:tcPr>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sz w:val="24"/>
                <w:szCs w:val="24"/>
                <w:lang w:eastAsia="en-US"/>
              </w:rPr>
            </w:pPr>
            <w:r>
              <w:rPr>
                <w:rFonts w:ascii="Times New Roman" w:hAnsi="Times New Roman" w:eastAsia="Gulim" w:cs="Times New Roman"/>
                <w:sz w:val="24"/>
                <w:szCs w:val="24"/>
                <w:lang w:eastAsia="en-US"/>
              </w:rPr>
              <w:t>Кінцевий строк подання тендерної пропозиції</w:t>
            </w:r>
          </w:p>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b/>
                <w:sz w:val="24"/>
                <w:szCs w:val="24"/>
                <w:lang w:eastAsia="en-US"/>
              </w:rPr>
            </w:pPr>
            <w:r>
              <w:rPr>
                <w:rFonts w:ascii="Times New Roman" w:hAnsi="Times New Roman" w:eastAsia="Gulim" w:cs="Times New Roman"/>
                <w:b/>
                <w:sz w:val="24"/>
                <w:szCs w:val="24"/>
                <w:lang w:eastAsia="en-US"/>
              </w:rPr>
              <w:t xml:space="preserve">до </w:t>
            </w:r>
            <w:r>
              <w:rPr>
                <w:rFonts w:hint="default" w:ascii="Times New Roman" w:hAnsi="Times New Roman" w:eastAsia="Gulim" w:cs="Times New Roman"/>
                <w:b/>
                <w:sz w:val="24"/>
                <w:szCs w:val="24"/>
                <w:lang w:val="en-US" w:eastAsia="en-US"/>
              </w:rPr>
              <w:t>05</w:t>
            </w:r>
            <w:r>
              <w:rPr>
                <w:rFonts w:ascii="Times New Roman" w:hAnsi="Times New Roman" w:eastAsia="Gulim" w:cs="Times New Roman"/>
                <w:b/>
                <w:sz w:val="24"/>
                <w:szCs w:val="24"/>
                <w:lang w:eastAsia="en-US"/>
              </w:rPr>
              <w:t>.</w:t>
            </w:r>
            <w:r>
              <w:rPr>
                <w:rFonts w:hint="default" w:ascii="Times New Roman" w:hAnsi="Times New Roman" w:eastAsia="Gulim" w:cs="Times New Roman"/>
                <w:b/>
                <w:sz w:val="24"/>
                <w:szCs w:val="24"/>
                <w:lang w:val="en-US" w:eastAsia="en-US"/>
              </w:rPr>
              <w:t>09</w:t>
            </w:r>
            <w:r>
              <w:rPr>
                <w:rFonts w:ascii="Times New Roman" w:hAnsi="Times New Roman" w:eastAsia="Gulim" w:cs="Times New Roman"/>
                <w:b/>
                <w:sz w:val="24"/>
                <w:szCs w:val="24"/>
                <w:lang w:eastAsia="en-US"/>
              </w:rPr>
              <w:t xml:space="preserve">.2023 р., </w:t>
            </w:r>
            <w:r>
              <w:rPr>
                <w:rFonts w:hint="default" w:ascii="Times New Roman" w:hAnsi="Times New Roman" w:eastAsia="Gulim" w:cs="Times New Roman"/>
                <w:b/>
                <w:sz w:val="24"/>
                <w:szCs w:val="24"/>
                <w:lang w:val="en-US" w:eastAsia="en-US"/>
              </w:rPr>
              <w:t>12</w:t>
            </w:r>
            <w:bookmarkStart w:id="7" w:name="_GoBack"/>
            <w:bookmarkEnd w:id="7"/>
            <w:r>
              <w:rPr>
                <w:rFonts w:ascii="Times New Roman" w:hAnsi="Times New Roman" w:eastAsia="Gulim" w:cs="Times New Roman"/>
                <w:b/>
                <w:sz w:val="24"/>
                <w:szCs w:val="24"/>
                <w:lang w:eastAsia="en-US"/>
              </w:rPr>
              <w:t>:00 год.</w:t>
            </w:r>
          </w:p>
          <w:p>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Gulim" w:cs="Times New Roman"/>
                <w:b/>
                <w:sz w:val="24"/>
                <w:szCs w:val="24"/>
                <w:lang w:eastAsia="en-US"/>
              </w:rPr>
            </w:pP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Pr>
              <w:t>Дата та час розкриття тендерної пропозиції</w:t>
            </w:r>
            <w:r>
              <w:rPr>
                <w:rFonts w:ascii="Times New Roman" w:hAnsi="Times New Roman" w:eastAsia="Times New Roman" w:cs="Times New Roman"/>
                <w:sz w:val="28"/>
                <w:szCs w:val="28"/>
                <w:highlight w:val="white"/>
              </w:rPr>
              <w:t xml:space="preserve"> </w:t>
            </w:r>
          </w:p>
        </w:tc>
        <w:tc>
          <w:tcPr>
            <w:tcW w:w="6450" w:type="dxa"/>
            <w:vAlign w:val="center"/>
          </w:tcPr>
          <w:p>
            <w:pPr>
              <w:shd w:val="clear" w:color="auto" w:fill="FFFFFF"/>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ind w:firstLine="353"/>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rPr>
              <w:t>47</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sz w:val="24"/>
                <w:szCs w:val="24"/>
                <w:highlight w:val="white"/>
              </w:rPr>
              <w:t>шістнадцятої</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(у разі якщо подано дві і більше тендерних пропозицій).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не приймається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white"/>
              </w:rPr>
              <w:t>Розмір мінімального кроку пониження ціни під час електронного аукціону – 0,5%.</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Pr>
              <w:t>лених невідповідностей.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B050"/>
                <w:sz w:val="24"/>
                <w:szCs w:val="24"/>
                <w:highlight w:val="whit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50" w:type="dxa"/>
            <w:vAlign w:val="center"/>
          </w:tcPr>
          <w:p>
            <w:pPr>
              <w:widowControl w:val="0"/>
              <w:spacing w:after="0" w:line="240" w:lineRule="auto"/>
              <w:ind w:firstLine="483"/>
              <w:jc w:val="both"/>
              <w:rPr>
                <w:rFonts w:ascii="Times New Roman" w:hAnsi="Times New Roman" w:cs="Times New Roman"/>
                <w:color w:val="000000"/>
                <w:sz w:val="24"/>
                <w:szCs w:val="24"/>
                <w:highlight w:val="green"/>
                <w:lang w:val="ru-RU"/>
              </w:rPr>
            </w:pPr>
            <w:r>
              <w:rPr>
                <w:rFonts w:ascii="Times New Roman" w:hAnsi="Times New Roman" w:eastAsia="Gulim"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pPr>
              <w:widowControl w:val="0"/>
              <w:spacing w:after="0" w:line="240" w:lineRule="auto"/>
              <w:ind w:firstLine="483"/>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hAnsi="Times New Roman" w:eastAsia="Times New Roman" w:cs="Times New Roman"/>
                <w:sz w:val="24"/>
                <w:szCs w:val="24"/>
              </w:rPr>
              <w:t xml:space="preserve">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 xml:space="preserve">. Зазначені </w:t>
            </w:r>
            <w:r>
              <w:rPr>
                <w:rFonts w:ascii="Times New Roman" w:hAnsi="Times New Roman" w:eastAsia="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hAnsi="Times New Roman" w:eastAsia="Times New Roman" w:cs="Times New Roman"/>
                <w:sz w:val="24"/>
                <w:szCs w:val="24"/>
              </w:rPr>
              <w:t>-VI,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4</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10. Фактом подання тендерної пропозиції учасник </w:t>
            </w:r>
            <w:r>
              <w:rPr>
                <w:rFonts w:ascii="Times New Roman" w:hAnsi="Times New Roman" w:eastAsia="Times New Roman" w:cs="Times New Roman"/>
                <w:sz w:val="24"/>
                <w:szCs w:val="24"/>
              </w:rPr>
              <w:t xml:space="preserve">підтверджує (жодних окремих підтверджень не потрібно подавати в складі тендерної пропозиції), що </w:t>
            </w:r>
            <w:r>
              <w:rPr>
                <w:rFonts w:ascii="Times New Roman" w:hAnsi="Times New Roman" w:eastAsia="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24"/>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50" w:type="dxa"/>
            <w:vAlign w:val="center"/>
          </w:tcPr>
          <w:p>
            <w:pPr>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підпадає під підстави, встановлені пунктом 47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забезпечення тендерної пропозиції, якщо таке забезпечення вимагалося замовником;</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тендерна пропозиція:</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sz w:val="24"/>
                <w:szCs w:val="24"/>
                <w:highlight w:val="white"/>
              </w:rPr>
              <w:t>пункту 4</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3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такою, строк дії якої закінчився;</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переможець процедури закупівлі:</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pPr>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0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50" w:type="dxa"/>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4) коли здійснення закупівлі стало неможливим внаслідок дії обставин непереборної сили.</w:t>
            </w:r>
          </w:p>
          <w:p>
            <w:pPr>
              <w:widowControl w:val="0"/>
              <w:spacing w:after="0" w:line="240" w:lineRule="auto"/>
              <w:ind w:firstLine="482"/>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відміни відкритих торгів замовник </w:t>
            </w:r>
            <w:r>
              <w:rPr>
                <w:rFonts w:ascii="Times New Roman" w:hAnsi="Times New Roman" w:eastAsia="Times New Roman" w:cs="Times New Roman"/>
                <w:b/>
                <w:i/>
                <w:sz w:val="24"/>
                <w:szCs w:val="24"/>
                <w:highlight w:val="white"/>
              </w:rPr>
              <w:t>протягом одного робочого дня</w:t>
            </w:r>
            <w:r>
              <w:rPr>
                <w:rFonts w:ascii="Times New Roman" w:hAnsi="Times New Roman" w:eastAsia="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Проект договору про закупівлю</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Проект договору про закупівлю викладено в </w:t>
            </w:r>
            <w:r>
              <w:rPr>
                <w:rFonts w:ascii="Times New Roman" w:hAnsi="Times New Roman" w:eastAsia="Times New Roman" w:cs="Times New Roman"/>
                <w:b/>
                <w:i/>
                <w:sz w:val="24"/>
                <w:szCs w:val="24"/>
              </w:rPr>
              <w:t>Додатку 4</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pStyle w:val="24"/>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0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1. Додаток 1 до тендерної документації «Кваліфікаційні критерії».</w:t>
      </w:r>
    </w:p>
    <w:p>
      <w:pPr>
        <w:widowControl w:val="0"/>
        <w:spacing w:after="0" w:line="240" w:lineRule="auto"/>
        <w:ind w:firstLine="2160"/>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2. Додаток 2 до тендерної документації «Технічні вимоги».</w:t>
      </w:r>
    </w:p>
    <w:p>
      <w:pPr>
        <w:widowControl w:val="0"/>
        <w:spacing w:after="0" w:line="240" w:lineRule="auto"/>
        <w:ind w:firstLine="2160"/>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3. Додаток </w:t>
      </w:r>
      <w:r>
        <w:rPr>
          <w:rFonts w:ascii="Times New Roman" w:hAnsi="Times New Roman" w:cs="Times New Roman"/>
          <w:sz w:val="24"/>
          <w:szCs w:val="24"/>
          <w:highlight w:val="white"/>
          <w:lang w:val="ru-RU"/>
        </w:rPr>
        <w:t>3</w:t>
      </w:r>
      <w:r>
        <w:rPr>
          <w:rFonts w:ascii="Times New Roman" w:hAnsi="Times New Roman" w:cs="Times New Roman"/>
          <w:sz w:val="24"/>
          <w:szCs w:val="24"/>
          <w:highlight w:val="white"/>
        </w:rPr>
        <w:t xml:space="preserve"> до тендерної документації «Цінова пропозиція».</w:t>
      </w:r>
    </w:p>
    <w:p>
      <w:pPr>
        <w:widowControl w:val="0"/>
        <w:spacing w:after="0" w:line="240" w:lineRule="auto"/>
        <w:ind w:firstLine="21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Додаток </w:t>
      </w:r>
      <w:r>
        <w:rPr>
          <w:rFonts w:ascii="Times New Roman" w:hAnsi="Times New Roman" w:cs="Times New Roman"/>
          <w:sz w:val="24"/>
          <w:szCs w:val="24"/>
          <w:highlight w:val="white"/>
          <w:lang w:val="ru-RU"/>
        </w:rPr>
        <w:t>4</w:t>
      </w:r>
      <w:r>
        <w:rPr>
          <w:rFonts w:ascii="Times New Roman" w:hAnsi="Times New Roman" w:cs="Times New Roman"/>
          <w:sz w:val="24"/>
          <w:szCs w:val="24"/>
          <w:highlight w:val="white"/>
        </w:rPr>
        <w:t xml:space="preserve"> до тендерної документації «Проект Договору».</w:t>
      </w:r>
    </w:p>
    <w:p>
      <w:pPr>
        <w:spacing w:line="240" w:lineRule="auto"/>
        <w:rPr>
          <w:rFonts w:ascii="Times New Roman" w:hAnsi="Times New Roman" w:cs="Times New Roman"/>
          <w:sz w:val="24"/>
          <w:szCs w:val="24"/>
          <w:highlight w:val="white"/>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sectPr>
      <w:headerReference r:id="rId5" w:type="first"/>
      <w:footerReference r:id="rId7" w:type="first"/>
      <w:footerReference r:id="rId6" w:type="default"/>
      <w:pgSz w:w="11906" w:h="16838"/>
      <w:pgMar w:top="567"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swiss"/>
    <w:pitch w:val="default"/>
    <w:sig w:usb0="00000000" w:usb1="00000000" w:usb2="00000000" w:usb3="00000000" w:csb0="00000005" w:csb1="00000000"/>
  </w:font>
  <w:font w:name="Book Antiqua">
    <w:panose1 w:val="02040602050305030304"/>
    <w:charset w:val="00"/>
    <w:family w:val="auto"/>
    <w:pitch w:val="default"/>
    <w:sig w:usb0="00000287" w:usb1="00000000" w:usb2="00000000" w:usb3="00000000" w:csb0="2000009F" w:csb1="DFD70000"/>
  </w:font>
  <w:font w:name="Arial">
    <w:panose1 w:val="020B0604020202020204"/>
    <w:charset w:val="CC"/>
    <w:family w:val="swiss"/>
    <w:pitch w:val="default"/>
    <w:sig w:usb0="E0002AFF" w:usb1="C0007843" w:usb2="00000009" w:usb3="00000000" w:csb0="400001FF" w:csb1="FFFF0000"/>
  </w:font>
  <w:font w:name="Noto Sans">
    <w:altName w:val="Times New Roman"/>
    <w:panose1 w:val="00000000000000000000"/>
    <w:charset w:val="00"/>
    <w:family w:val="swiss"/>
    <w:pitch w:val="default"/>
    <w:sig w:usb0="00000000" w:usb1="00000000" w:usb2="00000021" w:usb3="00000000" w:csb0="0000019F" w:csb1="00000000"/>
  </w:font>
  <w:font w:name="Courier New">
    <w:panose1 w:val="02070309020205020404"/>
    <w:charset w:val="CC"/>
    <w:family w:val="modern"/>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21</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44456"/>
    <w:multiLevelType w:val="multilevel"/>
    <w:tmpl w:val="12F44456"/>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1F36D6C"/>
    <w:multiLevelType w:val="multilevel"/>
    <w:tmpl w:val="31F36D6C"/>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A27444F"/>
    <w:multiLevelType w:val="multilevel"/>
    <w:tmpl w:val="5A27444F"/>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158F"/>
    <w:rsid w:val="00116BDE"/>
    <w:rsid w:val="001273A9"/>
    <w:rsid w:val="00133250"/>
    <w:rsid w:val="001412CE"/>
    <w:rsid w:val="00145740"/>
    <w:rsid w:val="00146CE9"/>
    <w:rsid w:val="00154731"/>
    <w:rsid w:val="001605CD"/>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1245"/>
    <w:rsid w:val="0027224F"/>
    <w:rsid w:val="002844F5"/>
    <w:rsid w:val="00287803"/>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B51B8"/>
    <w:rsid w:val="003B7CF9"/>
    <w:rsid w:val="003C2A02"/>
    <w:rsid w:val="003F6F47"/>
    <w:rsid w:val="0040195A"/>
    <w:rsid w:val="00403999"/>
    <w:rsid w:val="00413AB1"/>
    <w:rsid w:val="00423C1C"/>
    <w:rsid w:val="00436BB0"/>
    <w:rsid w:val="00452D6A"/>
    <w:rsid w:val="00461D6E"/>
    <w:rsid w:val="0049376D"/>
    <w:rsid w:val="004975EB"/>
    <w:rsid w:val="004A1A15"/>
    <w:rsid w:val="004C73CA"/>
    <w:rsid w:val="004D1953"/>
    <w:rsid w:val="004E02BB"/>
    <w:rsid w:val="005112B2"/>
    <w:rsid w:val="00511D7C"/>
    <w:rsid w:val="005156F4"/>
    <w:rsid w:val="00533DCC"/>
    <w:rsid w:val="00535784"/>
    <w:rsid w:val="00543A1D"/>
    <w:rsid w:val="005570E7"/>
    <w:rsid w:val="00575319"/>
    <w:rsid w:val="00585D30"/>
    <w:rsid w:val="00585D92"/>
    <w:rsid w:val="00592B35"/>
    <w:rsid w:val="005B2D13"/>
    <w:rsid w:val="005C1F18"/>
    <w:rsid w:val="005C3EF3"/>
    <w:rsid w:val="005D40E9"/>
    <w:rsid w:val="005D6EDC"/>
    <w:rsid w:val="005E3576"/>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4295"/>
    <w:rsid w:val="00A65BCE"/>
    <w:rsid w:val="00A6688B"/>
    <w:rsid w:val="00A67E2E"/>
    <w:rsid w:val="00A80F57"/>
    <w:rsid w:val="00A81D11"/>
    <w:rsid w:val="00AA53F6"/>
    <w:rsid w:val="00AB257C"/>
    <w:rsid w:val="00AC5591"/>
    <w:rsid w:val="00AD174C"/>
    <w:rsid w:val="00AD4D65"/>
    <w:rsid w:val="00AF24B8"/>
    <w:rsid w:val="00B00C87"/>
    <w:rsid w:val="00B03C6D"/>
    <w:rsid w:val="00B04562"/>
    <w:rsid w:val="00B132A5"/>
    <w:rsid w:val="00B35A94"/>
    <w:rsid w:val="00B446B3"/>
    <w:rsid w:val="00B564A8"/>
    <w:rsid w:val="00B66C41"/>
    <w:rsid w:val="00B77E8B"/>
    <w:rsid w:val="00B85AAE"/>
    <w:rsid w:val="00B92295"/>
    <w:rsid w:val="00BA263B"/>
    <w:rsid w:val="00BB5039"/>
    <w:rsid w:val="00BB67DD"/>
    <w:rsid w:val="00BB7311"/>
    <w:rsid w:val="00BC3889"/>
    <w:rsid w:val="00BC58DD"/>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457F"/>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E78ED"/>
    <w:rsid w:val="00DF509F"/>
    <w:rsid w:val="00DF79E8"/>
    <w:rsid w:val="00E1237A"/>
    <w:rsid w:val="00E24A0F"/>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017C5"/>
    <w:rsid w:val="00F15C65"/>
    <w:rsid w:val="00F47705"/>
    <w:rsid w:val="00F601F5"/>
    <w:rsid w:val="00F657BE"/>
    <w:rsid w:val="00FA7705"/>
    <w:rsid w:val="00FB510A"/>
    <w:rsid w:val="00FE27DB"/>
    <w:rsid w:val="00FF6941"/>
    <w:rsid w:val="166974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unhideWhenUsed/>
    <w:uiPriority w:val="99"/>
    <w:rPr>
      <w:color w:val="0563C1" w:themeColor="hyperlink"/>
      <w:u w:val="single"/>
      <w14:textFill>
        <w14:solidFill>
          <w14:schemeClr w14:val="hlink"/>
        </w14:solidFill>
      </w14:textFill>
    </w:rPr>
  </w:style>
  <w:style w:type="character" w:styleId="12">
    <w:name w:val="page number"/>
    <w:basedOn w:val="8"/>
    <w:qFormat/>
    <w:uiPriority w:val="0"/>
  </w:style>
  <w:style w:type="character" w:styleId="13">
    <w:name w:val="Strong"/>
    <w:qFormat/>
    <w:uiPriority w:val="0"/>
    <w:rPr>
      <w:b/>
      <w:bCs/>
    </w:rPr>
  </w:style>
  <w:style w:type="paragraph" w:styleId="14">
    <w:name w:val="Balloon Text"/>
    <w:basedOn w:val="1"/>
    <w:link w:val="26"/>
    <w:semiHidden/>
    <w:unhideWhenUsed/>
    <w:uiPriority w:val="99"/>
    <w:pPr>
      <w:spacing w:after="0" w:line="240" w:lineRule="auto"/>
    </w:pPr>
    <w:rPr>
      <w:rFonts w:ascii="Segoe UI" w:hAnsi="Segoe UI" w:cs="Segoe UI"/>
      <w:sz w:val="18"/>
      <w:szCs w:val="18"/>
    </w:rPr>
  </w:style>
  <w:style w:type="paragraph" w:styleId="15">
    <w:name w:val="annotation text"/>
    <w:basedOn w:val="1"/>
    <w:link w:val="35"/>
    <w:semiHidden/>
    <w:unhideWhenUsed/>
    <w:uiPriority w:val="99"/>
    <w:pPr>
      <w:spacing w:line="240" w:lineRule="auto"/>
    </w:pPr>
    <w:rPr>
      <w:sz w:val="20"/>
      <w:szCs w:val="20"/>
    </w:rPr>
  </w:style>
  <w:style w:type="paragraph" w:styleId="16">
    <w:name w:val="annotation subject"/>
    <w:basedOn w:val="15"/>
    <w:next w:val="15"/>
    <w:link w:val="36"/>
    <w:semiHidden/>
    <w:unhideWhenUsed/>
    <w:uiPriority w:val="99"/>
    <w:rPr>
      <w:b/>
      <w:bCs/>
    </w:rPr>
  </w:style>
  <w:style w:type="paragraph" w:styleId="17">
    <w:name w:val="Body Text"/>
    <w:basedOn w:val="1"/>
    <w:link w:val="49"/>
    <w:uiPriority w:val="0"/>
    <w:pPr>
      <w:widowControl w:val="0"/>
      <w:autoSpaceDE w:val="0"/>
      <w:autoSpaceDN w:val="0"/>
      <w:spacing w:after="0" w:line="240" w:lineRule="auto"/>
    </w:pPr>
    <w:rPr>
      <w:rFonts w:ascii="Times New Roman" w:hAnsi="Times New Roman" w:cs="Times New Roman"/>
      <w:sz w:val="24"/>
      <w:szCs w:val="24"/>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footer"/>
    <w:basedOn w:val="1"/>
    <w:link w:val="46"/>
    <w:uiPriority w:val="0"/>
    <w:pPr>
      <w:tabs>
        <w:tab w:val="center" w:pos="4677"/>
        <w:tab w:val="right" w:pos="9355"/>
      </w:tabs>
      <w:spacing w:after="0" w:line="240" w:lineRule="auto"/>
    </w:pPr>
    <w:rPr>
      <w:rFonts w:ascii="Times New Roman" w:hAnsi="Times New Roman" w:eastAsia="Times New Roman" w:cs="Times New Roman"/>
      <w:sz w:val="24"/>
      <w:szCs w:val="20"/>
      <w:lang w:val="ru-RU"/>
    </w:rPr>
  </w:style>
  <w:style w:type="paragraph" w:styleId="20">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21">
    <w:name w:val="Subtitle"/>
    <w:basedOn w:val="1"/>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22">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uiPriority w:val="0"/>
    <w:tblPr>
      <w:tblCellMar>
        <w:top w:w="0" w:type="dxa"/>
        <w:left w:w="0" w:type="dxa"/>
        <w:bottom w:w="0" w:type="dxa"/>
        <w:right w:w="0" w:type="dxa"/>
      </w:tblCellMar>
    </w:tblPr>
  </w:style>
  <w:style w:type="paragraph" w:styleId="24">
    <w:name w:val="List Paragraph"/>
    <w:basedOn w:val="1"/>
    <w:link w:val="47"/>
    <w:qFormat/>
    <w:uiPriority w:val="34"/>
    <w:pPr>
      <w:ind w:left="720"/>
      <w:contextualSpacing/>
    </w:pPr>
  </w:style>
  <w:style w:type="character" w:customStyle="1" w:styleId="25">
    <w:name w:val="Неразрешенное упоминание1"/>
    <w:basedOn w:val="8"/>
    <w:semiHidden/>
    <w:unhideWhenUsed/>
    <w:uiPriority w:val="99"/>
    <w:rPr>
      <w:color w:val="605E5C"/>
      <w:shd w:val="clear" w:color="auto" w:fill="E1DFDD"/>
    </w:rPr>
  </w:style>
  <w:style w:type="character" w:customStyle="1" w:styleId="26">
    <w:name w:val="Текст выноски Знак"/>
    <w:basedOn w:val="8"/>
    <w:link w:val="14"/>
    <w:semiHidden/>
    <w:uiPriority w:val="99"/>
    <w:rPr>
      <w:rFonts w:ascii="Segoe UI" w:hAnsi="Segoe UI" w:cs="Segoe UI"/>
      <w:sz w:val="18"/>
      <w:szCs w:val="18"/>
    </w:rPr>
  </w:style>
  <w:style w:type="character" w:customStyle="1" w:styleId="27">
    <w:name w:val="qowt-font2-timesnewroman"/>
    <w:qFormat/>
    <w:uiPriority w:val="99"/>
    <w:rPr>
      <w:rFonts w:cs="Times New Roman"/>
    </w:rPr>
  </w:style>
  <w:style w:type="paragraph" w:customStyle="1" w:styleId="28">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9">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30">
    <w:name w:val="_Style 26"/>
    <w:basedOn w:val="23"/>
    <w:uiPriority w:val="0"/>
    <w:pPr>
      <w:spacing w:after="0" w:line="240" w:lineRule="auto"/>
    </w:pPr>
    <w:tblPr>
      <w:tblCellMar>
        <w:left w:w="108" w:type="dxa"/>
        <w:right w:w="108" w:type="dxa"/>
      </w:tblCellMar>
    </w:tblPr>
  </w:style>
  <w:style w:type="table" w:customStyle="1" w:styleId="31">
    <w:name w:val="_Style 27"/>
    <w:basedOn w:val="23"/>
    <w:uiPriority w:val="0"/>
    <w:pPr>
      <w:spacing w:after="0" w:line="240" w:lineRule="auto"/>
    </w:pPr>
    <w:tblPr>
      <w:tblCellMar>
        <w:left w:w="108" w:type="dxa"/>
        <w:right w:w="108" w:type="dxa"/>
      </w:tblCellMar>
    </w:tblPr>
  </w:style>
  <w:style w:type="table" w:customStyle="1" w:styleId="32">
    <w:name w:val="_Style 28"/>
    <w:basedOn w:val="23"/>
    <w:qFormat/>
    <w:uiPriority w:val="0"/>
    <w:pPr>
      <w:spacing w:after="0" w:line="240" w:lineRule="auto"/>
    </w:pPr>
    <w:tblPr>
      <w:tblCellMar>
        <w:left w:w="108" w:type="dxa"/>
        <w:right w:w="108" w:type="dxa"/>
      </w:tblCellMar>
    </w:tblPr>
  </w:style>
  <w:style w:type="paragraph" w:customStyle="1" w:styleId="33">
    <w:name w:val="Нормальний текст"/>
    <w:basedOn w:val="1"/>
    <w:uiPriority w:val="0"/>
    <w:pPr>
      <w:spacing w:before="120" w:after="0" w:line="240" w:lineRule="auto"/>
      <w:ind w:firstLine="567"/>
    </w:pPr>
    <w:rPr>
      <w:rFonts w:ascii="Antiqua" w:hAnsi="Antiqua" w:eastAsia="Times New Roman" w:cs="Times New Roman"/>
      <w:sz w:val="26"/>
      <w:szCs w:val="20"/>
    </w:rPr>
  </w:style>
  <w:style w:type="table" w:customStyle="1" w:styleId="34">
    <w:name w:val="_Style 30"/>
    <w:basedOn w:val="23"/>
    <w:uiPriority w:val="0"/>
    <w:pPr>
      <w:spacing w:after="0" w:line="240" w:lineRule="auto"/>
    </w:pPr>
    <w:tblPr>
      <w:tblCellMar>
        <w:left w:w="108" w:type="dxa"/>
        <w:right w:w="108" w:type="dxa"/>
      </w:tblCellMar>
    </w:tblPr>
  </w:style>
  <w:style w:type="character" w:customStyle="1" w:styleId="35">
    <w:name w:val="Текст примечания Знак"/>
    <w:basedOn w:val="8"/>
    <w:link w:val="15"/>
    <w:semiHidden/>
    <w:uiPriority w:val="99"/>
    <w:rPr>
      <w:sz w:val="20"/>
      <w:szCs w:val="20"/>
    </w:rPr>
  </w:style>
  <w:style w:type="character" w:customStyle="1" w:styleId="36">
    <w:name w:val="Тема примечания Знак"/>
    <w:basedOn w:val="35"/>
    <w:link w:val="16"/>
    <w:semiHidden/>
    <w:uiPriority w:val="99"/>
    <w:rPr>
      <w:b/>
      <w:bCs/>
      <w:sz w:val="20"/>
      <w:szCs w:val="20"/>
    </w:rPr>
  </w:style>
  <w:style w:type="table" w:customStyle="1" w:styleId="37">
    <w:name w:val="_Style 36"/>
    <w:basedOn w:val="23"/>
    <w:uiPriority w:val="0"/>
    <w:pPr>
      <w:spacing w:after="0" w:line="240" w:lineRule="auto"/>
    </w:pPr>
    <w:tblPr>
      <w:tblCellMar>
        <w:left w:w="108" w:type="dxa"/>
        <w:right w:w="108" w:type="dxa"/>
      </w:tblCellMar>
    </w:tblPr>
  </w:style>
  <w:style w:type="character" w:customStyle="1" w:styleId="38">
    <w:name w:val="rvts82"/>
    <w:qFormat/>
    <w:uiPriority w:val="0"/>
  </w:style>
  <w:style w:type="paragraph" w:styleId="39">
    <w:name w:val="No Spacing"/>
    <w:link w:val="40"/>
    <w:qFormat/>
    <w:uiPriority w:val="0"/>
    <w:pPr>
      <w:spacing w:after="0" w:line="240" w:lineRule="auto"/>
    </w:pPr>
    <w:rPr>
      <w:rFonts w:ascii="Calibri" w:hAnsi="Calibri" w:eastAsia="Calibri" w:cs="Times New Roman"/>
      <w:sz w:val="22"/>
      <w:szCs w:val="22"/>
      <w:lang w:val="uk-UA" w:eastAsia="en-US" w:bidi="ar-SA"/>
    </w:rPr>
  </w:style>
  <w:style w:type="character" w:customStyle="1" w:styleId="40">
    <w:name w:val="Без интервала Знак"/>
    <w:link w:val="39"/>
    <w:qFormat/>
    <w:locked/>
    <w:uiPriority w:val="0"/>
    <w:rPr>
      <w:rFonts w:cs="Times New Roman"/>
      <w:lang w:eastAsia="en-US"/>
    </w:rPr>
  </w:style>
  <w:style w:type="paragraph" w:customStyle="1" w:styleId="41">
    <w:name w:val="Без інтервалів"/>
    <w:link w:val="42"/>
    <w:qFormat/>
    <w:uiPriority w:val="0"/>
    <w:pPr>
      <w:suppressAutoHyphens/>
      <w:spacing w:after="0" w:line="240" w:lineRule="auto"/>
    </w:pPr>
    <w:rPr>
      <w:rFonts w:ascii="Calibri" w:hAnsi="Calibri" w:eastAsia="Times New Roman" w:cs="Times New Roman"/>
      <w:kern w:val="1"/>
      <w:sz w:val="22"/>
      <w:szCs w:val="22"/>
      <w:lang w:val="ru-RU" w:eastAsia="uk-UA" w:bidi="ar-SA"/>
    </w:rPr>
  </w:style>
  <w:style w:type="character" w:customStyle="1" w:styleId="42">
    <w:name w:val="Без інтервалів Знак"/>
    <w:link w:val="41"/>
    <w:uiPriority w:val="0"/>
    <w:rPr>
      <w:rFonts w:eastAsia="Times New Roman" w:cs="Times New Roman"/>
      <w:kern w:val="1"/>
      <w:lang w:val="ru-RU" w:eastAsia="uk-UA"/>
    </w:rPr>
  </w:style>
  <w:style w:type="paragraph" w:customStyle="1" w:styleId="43">
    <w:name w:val="Обычный1"/>
    <w:link w:val="44"/>
    <w:uiPriority w:val="0"/>
    <w:pPr>
      <w:spacing w:after="0" w:line="276" w:lineRule="auto"/>
    </w:pPr>
    <w:rPr>
      <w:rFonts w:ascii="Arial" w:hAnsi="Arial" w:eastAsia="Times New Roman" w:cs="Arial"/>
      <w:color w:val="000000"/>
      <w:sz w:val="22"/>
      <w:szCs w:val="22"/>
      <w:lang w:val="en-US" w:eastAsia="ru-RU" w:bidi="ar-SA"/>
    </w:rPr>
  </w:style>
  <w:style w:type="character" w:customStyle="1" w:styleId="44">
    <w:name w:val="Normal Знак"/>
    <w:link w:val="43"/>
    <w:locked/>
    <w:uiPriority w:val="0"/>
    <w:rPr>
      <w:rFonts w:ascii="Arial" w:hAnsi="Arial" w:eastAsia="Times New Roman" w:cs="Arial"/>
      <w:color w:val="000000"/>
      <w:lang w:val="en-US"/>
    </w:rPr>
  </w:style>
  <w:style w:type="character" w:customStyle="1" w:styleId="45">
    <w:name w:val="rvts0"/>
    <w:uiPriority w:val="0"/>
    <w:rPr>
      <w:rFonts w:cs="Times New Roman"/>
    </w:rPr>
  </w:style>
  <w:style w:type="character" w:customStyle="1" w:styleId="46">
    <w:name w:val="Нижний колонтитул Знак"/>
    <w:basedOn w:val="8"/>
    <w:link w:val="19"/>
    <w:uiPriority w:val="0"/>
    <w:rPr>
      <w:rFonts w:ascii="Times New Roman" w:hAnsi="Times New Roman" w:eastAsia="Times New Roman" w:cs="Times New Roman"/>
      <w:sz w:val="24"/>
      <w:szCs w:val="20"/>
      <w:lang w:val="ru-RU"/>
    </w:rPr>
  </w:style>
  <w:style w:type="character" w:customStyle="1" w:styleId="47">
    <w:name w:val="Абзац списка Знак"/>
    <w:link w:val="24"/>
    <w:qFormat/>
    <w:locked/>
    <w:uiPriority w:val="34"/>
  </w:style>
  <w:style w:type="paragraph" w:customStyle="1" w:styleId="48">
    <w:name w:val="Table Paragraph"/>
    <w:basedOn w:val="1"/>
    <w:uiPriority w:val="0"/>
    <w:pPr>
      <w:widowControl w:val="0"/>
      <w:autoSpaceDE w:val="0"/>
      <w:autoSpaceDN w:val="0"/>
      <w:spacing w:after="0" w:line="240" w:lineRule="auto"/>
      <w:ind w:left="114"/>
    </w:pPr>
    <w:rPr>
      <w:rFonts w:ascii="Times New Roman" w:hAnsi="Times New Roman" w:cs="Times New Roman"/>
      <w:lang w:eastAsia="en-US"/>
    </w:rPr>
  </w:style>
  <w:style w:type="character" w:customStyle="1" w:styleId="49">
    <w:name w:val="Основной текст Знак"/>
    <w:basedOn w:val="8"/>
    <w:link w:val="17"/>
    <w:uiPriority w:val="0"/>
    <w:rPr>
      <w:rFonts w:ascii="Times New Roman" w:hAnsi="Times New Roman" w:cs="Times New Roman"/>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7909</Words>
  <Characters>45082</Characters>
  <Lines>375</Lines>
  <Paragraphs>105</Paragraphs>
  <TotalTime>20</TotalTime>
  <ScaleCrop>false</ScaleCrop>
  <LinksUpToDate>false</LinksUpToDate>
  <CharactersWithSpaces>52886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2023-07-25T09:24:00Z</dcterms:created>
  <dc:creator>userua12</dc:creator>
  <cp:lastModifiedBy>User</cp:lastModifiedBy>
  <cp:lastPrinted>2023-06-20T10:42:00Z</cp:lastPrinted>
  <dcterms:modified xsi:type="dcterms:W3CDTF">2023-08-28T07:48:53Z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32DF1654F28C4E23973B43CD2C783C9A</vt:lpwstr>
  </property>
</Properties>
</file>