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1F1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Додаток № 2 до тендерної документації</w:t>
      </w:r>
    </w:p>
    <w:p>
      <w:pPr>
        <w:contextualSpacing w:val="1"/>
        <w:jc w:val="center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hAnsi="Times New Roman"/>
          <w:b w:val="1"/>
          <w:i w:val="1"/>
        </w:rPr>
        <w:t xml:space="preserve"> </w:t>
      </w:r>
    </w:p>
    <w:p>
      <w:pPr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кПа (760 мм рт. ст.).</w:t>
      </w:r>
    </w:p>
    <w:tbl>
      <w:tblPr>
        <w:tblW w:w="10200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131"/>
          <w:jc w:val="center"/>
        </w:trPr>
        <w:tc>
          <w:tcPr>
            <w:tcW w:w="3797" w:type="dxa"/>
            <w:vAlign w:val="center"/>
          </w:tcPr>
          <w:p>
            <w:pPr>
              <w:ind w:firstLine="4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Найменування товару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Одиниця виміру 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Кількість товару</w:t>
            </w:r>
          </w:p>
        </w:tc>
      </w:tr>
      <w:tr>
        <w:trPr>
          <w:trHeight w:hRule="atLeast" w:val="42"/>
          <w:jc w:val="center"/>
        </w:trPr>
        <w:tc>
          <w:tcPr>
            <w:tcW w:w="379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Природний газ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395</w:t>
            </w:r>
          </w:p>
        </w:tc>
      </w:tr>
    </w:tbl>
    <w:p>
      <w:pPr>
        <w:pStyle w:val="P2"/>
        <w:spacing w:lineRule="auto" w:line="276" w:beforeAutospacing="0" w:afterAutospacing="0"/>
        <w:rPr>
          <w:color w:val="auto"/>
        </w:rPr>
      </w:pPr>
      <w:r>
        <w:rPr>
          <w:color w:val="auto"/>
        </w:rPr>
        <w:t>2. Місце постачання та кількість:</w:t>
      </w:r>
    </w:p>
    <w:tbl>
      <w:tblPr>
        <w:tblpPr w:leftFromText="180" w:rightFromText="180" w:tblpX="108" w:tblpY="413" w:horzAnchor="margin" w:vertAnchor="text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</w:tblPr>
      <w:tblGrid/>
      <w:tr>
        <w:trPr>
          <w:trHeight w:hRule="atLeast" w:val="364"/>
        </w:trPr>
        <w:tc>
          <w:tcPr>
            <w:tcW w:w="537" w:type="dxa"/>
          </w:tcPr>
          <w:p>
            <w:pPr>
              <w:pStyle w:val="P2"/>
              <w:jc w:val="center"/>
              <w:rPr>
                <w:b w:val="1"/>
                <w:color w:val="auto"/>
                <w:sz w:val="23"/>
              </w:rPr>
            </w:pPr>
          </w:p>
          <w:p>
            <w:pPr>
              <w:pStyle w:val="P2"/>
              <w:rPr>
                <w:b w:val="1"/>
                <w:color w:val="auto"/>
                <w:sz w:val="23"/>
              </w:rPr>
            </w:pPr>
          </w:p>
        </w:tc>
        <w:tc>
          <w:tcPr>
            <w:tcW w:w="6062" w:type="dxa"/>
          </w:tcPr>
          <w:p>
            <w:pPr>
              <w:pStyle w:val="P2"/>
              <w:jc w:val="center"/>
              <w:rPr>
                <w:b w:val="1"/>
                <w:color w:val="auto"/>
                <w:sz w:val="23"/>
              </w:rPr>
            </w:pPr>
            <w:r>
              <w:rPr>
                <w:b w:val="1"/>
                <w:color w:val="auto"/>
                <w:sz w:val="23"/>
              </w:rPr>
              <w:t>Адреси постачання</w:t>
            </w:r>
          </w:p>
          <w:p>
            <w:pPr>
              <w:pStyle w:val="P2"/>
              <w:rPr>
                <w:b w:val="1"/>
                <w:color w:val="auto"/>
                <w:sz w:val="23"/>
              </w:rPr>
            </w:pPr>
          </w:p>
        </w:tc>
        <w:tc>
          <w:tcPr>
            <w:tcW w:w="3607" w:type="dxa"/>
          </w:tcPr>
          <w:p>
            <w:pPr>
              <w:pStyle w:val="P2"/>
              <w:jc w:val="center"/>
              <w:rPr>
                <w:b w:val="1"/>
                <w:color w:val="auto"/>
                <w:sz w:val="23"/>
              </w:rPr>
            </w:pPr>
            <w:r>
              <w:rPr>
                <w:b w:val="1"/>
                <w:color w:val="auto"/>
                <w:sz w:val="23"/>
              </w:rPr>
              <w:t>Кількість</w:t>
            </w:r>
          </w:p>
        </w:tc>
      </w:tr>
      <w:tr>
        <w:trPr>
          <w:trHeight w:hRule="atLeast" w:val="578"/>
        </w:trPr>
        <w:tc>
          <w:tcPr>
            <w:tcW w:w="537" w:type="dxa"/>
          </w:tcPr>
          <w:p>
            <w:pPr>
              <w:pStyle w:val="P2"/>
              <w:jc w:val="center"/>
              <w:rPr>
                <w:b w:val="1"/>
                <w:color w:val="auto"/>
                <w:sz w:val="23"/>
              </w:rPr>
            </w:pPr>
            <w:r>
              <w:rPr>
                <w:b w:val="1"/>
                <w:color w:val="auto"/>
                <w:sz w:val="23"/>
              </w:rPr>
              <w:t>1.</w:t>
            </w:r>
          </w:p>
        </w:tc>
        <w:tc>
          <w:tcPr>
            <w:tcW w:w="6062" w:type="dxa"/>
          </w:tcPr>
          <w:p>
            <w:pPr>
              <w:pStyle w:val="P2"/>
              <w:rPr>
                <w:b w:val="1"/>
                <w:color w:val="auto"/>
                <w:sz w:val="23"/>
              </w:rPr>
            </w:pPr>
            <w:r>
              <w:rPr>
                <w:b w:val="1"/>
                <w:color w:val="auto"/>
                <w:sz w:val="23"/>
              </w:rPr>
              <w:t>смт Хотінь</w:t>
            </w:r>
          </w:p>
        </w:tc>
        <w:tc>
          <w:tcPr>
            <w:tcW w:w="3607" w:type="dxa"/>
          </w:tcPr>
          <w:p>
            <w:pPr>
              <w:pStyle w:val="P2"/>
              <w:rPr>
                <w:b w:val="1"/>
                <w:sz w:val="23"/>
                <w:vertAlign w:val="superscript"/>
              </w:rPr>
            </w:pPr>
            <w:bookmarkStart w:id="0" w:name="_GoBack"/>
            <w:bookmarkEnd w:id="0"/>
            <w:r>
              <w:rPr>
                <w:b w:val="1"/>
                <w:sz w:val="23"/>
              </w:rPr>
              <w:t xml:space="preserve">63 </w:t>
            </w:r>
            <w:r>
              <w:rPr>
                <w:b w:val="1"/>
                <w:sz w:val="23"/>
              </w:rPr>
              <w:t>395</w:t>
            </w:r>
            <w:r>
              <w:rPr>
                <w:b w:val="1"/>
                <w:sz w:val="23"/>
              </w:rPr>
              <w:t xml:space="preserve"> м</w:t>
            </w:r>
            <w:r>
              <w:rPr>
                <w:b w:val="1"/>
                <w:sz w:val="23"/>
                <w:vertAlign w:val="superscript"/>
              </w:rPr>
              <w:t>3</w:t>
            </w:r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Товар запропонований учасником повинен відповідати вимогам ДСТУ 5542-87 (ГОСТ 5542-87), а саме</w:t>
      </w:r>
    </w:p>
    <w:tbl>
      <w:tblPr>
        <w:tblW w:w="4913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shd w:val="clear" w:fill="EDEDED"/>
        <w:tblCellMar>
          <w:left w:w="57" w:type="dxa"/>
          <w:right w:w="57" w:type="dxa"/>
        </w:tblCellMar>
        <w:tblLook w:val="04A0"/>
      </w:tblPr>
      <w:tblGrid/>
      <w:tr>
        <w:trPr>
          <w:trHeight w:hRule="atLeast" w:val="20"/>
        </w:trPr>
        <w:tc>
          <w:tcPr>
            <w:tcW w:w="408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Найменування показника</w:t>
            </w:r>
          </w:p>
        </w:tc>
        <w:tc>
          <w:tcPr>
            <w:tcW w:w="91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Норма</w:t>
            </w:r>
          </w:p>
        </w:tc>
      </w:tr>
      <w:tr>
        <w:trPr>
          <w:trHeight w:hRule="atLeast" w:val="20"/>
        </w:trPr>
        <w:tc>
          <w:tcPr>
            <w:tcW w:w="408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Теплота згоряння нижча,  МДж/м³ кПа,  при 20ºС  101,325 кПа, не менше</w:t>
            </w:r>
          </w:p>
        </w:tc>
        <w:tc>
          <w:tcPr>
            <w:tcW w:w="91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 (7600) </w:t>
            </w:r>
          </w:p>
        </w:tc>
      </w:tr>
      <w:tr>
        <w:trPr>
          <w:trHeight w:hRule="atLeast" w:val="32"/>
        </w:trPr>
        <w:tc>
          <w:tcPr>
            <w:tcW w:w="408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Область значень числа Воббе (вищого), МДж/м³ (ккал/м³)</w:t>
            </w:r>
          </w:p>
        </w:tc>
        <w:tc>
          <w:tcPr>
            <w:tcW w:w="91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9850-13000</w:t>
            </w:r>
          </w:p>
        </w:tc>
      </w:tr>
      <w:tr>
        <w:trPr>
          <w:trHeight w:hRule="atLeast" w:val="20"/>
        </w:trPr>
        <w:tc>
          <w:tcPr>
            <w:tcW w:w="408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Масова концентрація сірководню, г/м³, не більше</w:t>
            </w:r>
          </w:p>
        </w:tc>
        <w:tc>
          <w:tcPr>
            <w:tcW w:w="91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>
        <w:trPr>
          <w:trHeight w:hRule="atLeast" w:val="20"/>
        </w:trPr>
        <w:tc>
          <w:tcPr>
            <w:tcW w:w="408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Масова концентрація меркаптанової сірки, г/м³, не більше</w:t>
            </w:r>
          </w:p>
        </w:tc>
        <w:tc>
          <w:tcPr>
            <w:tcW w:w="91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0,036</w:t>
            </w:r>
          </w:p>
        </w:tc>
      </w:tr>
      <w:tr>
        <w:trPr>
          <w:trHeight w:hRule="atLeast" w:val="20"/>
        </w:trPr>
        <w:tc>
          <w:tcPr>
            <w:tcW w:w="408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Об’ємна частка кисню, %, не більше</w:t>
            </w:r>
          </w:p>
        </w:tc>
        <w:tc>
          <w:tcPr>
            <w:tcW w:w="91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>
        <w:trPr>
          <w:trHeight w:hRule="atLeast" w:val="20"/>
        </w:trPr>
        <w:tc>
          <w:tcPr>
            <w:tcW w:w="408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Маса механічних домішків у 1 м³ г, не більше</w:t>
            </w:r>
          </w:p>
        </w:tc>
        <w:tc>
          <w:tcPr>
            <w:tcW w:w="91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</w:tr>
      <w:tr>
        <w:trPr>
          <w:trHeight w:hRule="atLeast" w:val="20"/>
        </w:trPr>
        <w:tc>
          <w:tcPr>
            <w:tcW w:w="4088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12" w:type="pc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</w:tr>
    </w:tbl>
    <w:p>
      <w:pPr>
        <w:keepNext w:val="1"/>
        <w:keepLines w:val="1"/>
        <w:tabs>
          <w:tab w:val="left" w:pos="0" w:leader="none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4.Також фізико-хімічні показники природного газу повинні відповідати вимогам, визначеним розділом ІІІ Кодексу газорозподільних систем та Кодексу газотранспортної системи.</w:t>
      </w:r>
    </w:p>
    <w:p>
      <w:pPr>
        <w:pStyle w:val="P1"/>
        <w:rPr>
          <w:color w:val="000000"/>
        </w:rPr>
      </w:pPr>
      <w:r>
        <w:rPr>
          <w:color w:val="000000"/>
        </w:rPr>
        <w:t>5.Строк постачання природного газу: з 15.10.2023 до 31.12.2023року.</w:t>
      </w:r>
    </w:p>
    <w:p>
      <w:pPr>
        <w:pStyle w:val="P1"/>
      </w:pPr>
      <w:r>
        <w:rPr>
          <w:color w:val="000000"/>
        </w:rPr>
        <w:t>6. Запропонований природний газ повинен відповідати вимогам чинного законодавства із захисту довкілля.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Normal (Web)"/>
    <w:basedOn w:val="P0"/>
    <w:pPr/>
    <w:rPr>
      <w:rFonts w:ascii="Times New Roman" w:hAnsi="Times New Roman"/>
      <w:sz w:val="24"/>
    </w:rPr>
  </w:style>
  <w:style w:type="paragraph" w:styleId="P2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