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3D" w:rsidRPr="004333CE" w:rsidRDefault="0053613D" w:rsidP="0053613D">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4</w:t>
      </w:r>
    </w:p>
    <w:p w:rsidR="0053613D" w:rsidRPr="004333CE" w:rsidRDefault="0053613D" w:rsidP="0053613D">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тендерної документації</w:t>
      </w:r>
    </w:p>
    <w:p w:rsidR="0053613D" w:rsidRPr="004333CE" w:rsidRDefault="0053613D" w:rsidP="0053613D">
      <w:pPr>
        <w:suppressAutoHyphens/>
        <w:spacing w:after="0" w:line="240" w:lineRule="auto"/>
        <w:jc w:val="right"/>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Проєкт</w:t>
      </w:r>
    </w:p>
    <w:p w:rsidR="0053613D" w:rsidRPr="004333CE" w:rsidRDefault="0053613D" w:rsidP="0053613D">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4333CE">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4333CE">
        <w:rPr>
          <w:rFonts w:ascii="Times New Roman" w:eastAsia="Calibri" w:hAnsi="Times New Roman" w:cs="Calibri"/>
          <w:i/>
          <w:kern w:val="1"/>
          <w:sz w:val="24"/>
          <w:szCs w:val="24"/>
          <w:shd w:val="clear" w:color="auto" w:fill="FFFFFF"/>
        </w:rPr>
        <w:t xml:space="preserve"> на підставі абзацу 1 підпункту 3 пункту 44 особливостей.</w:t>
      </w:r>
    </w:p>
    <w:p w:rsidR="0053613D" w:rsidRPr="004333CE" w:rsidRDefault="0053613D" w:rsidP="0053613D">
      <w:pPr>
        <w:spacing w:after="0" w:line="240" w:lineRule="auto"/>
        <w:jc w:val="center"/>
        <w:rPr>
          <w:rFonts w:ascii="Times New Roman" w:hAnsi="Times New Roman" w:cs="Times New Roman"/>
          <w:b/>
          <w:sz w:val="24"/>
          <w:szCs w:val="24"/>
        </w:rPr>
      </w:pPr>
      <w:r w:rsidRPr="004333CE">
        <w:rPr>
          <w:rFonts w:ascii="Times New Roman" w:hAnsi="Times New Roman" w:cs="Times New Roman"/>
          <w:b/>
          <w:sz w:val="24"/>
          <w:szCs w:val="24"/>
        </w:rPr>
        <w:t>Договір</w:t>
      </w:r>
    </w:p>
    <w:p w:rsidR="0053613D" w:rsidRPr="004333CE" w:rsidRDefault="0053613D" w:rsidP="0053613D">
      <w:pPr>
        <w:spacing w:after="0" w:line="240" w:lineRule="auto"/>
        <w:jc w:val="center"/>
        <w:rPr>
          <w:rFonts w:ascii="Times New Roman" w:hAnsi="Times New Roman" w:cs="Times New Roman"/>
          <w:sz w:val="24"/>
          <w:szCs w:val="24"/>
        </w:rPr>
      </w:pPr>
      <w:r w:rsidRPr="004333CE">
        <w:rPr>
          <w:rFonts w:ascii="Times New Roman" w:hAnsi="Times New Roman" w:cs="Times New Roman"/>
          <w:sz w:val="24"/>
          <w:szCs w:val="24"/>
        </w:rPr>
        <w:t xml:space="preserve">про закупівлю послуг за державні кошти </w:t>
      </w:r>
    </w:p>
    <w:p w:rsidR="0053613D" w:rsidRPr="004333CE" w:rsidRDefault="0053613D" w:rsidP="0053613D">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53613D" w:rsidRPr="004333CE" w:rsidRDefault="0053613D" w:rsidP="0053613D">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м. Чернівці                                                                                                 ___________ 2023 р.</w:t>
      </w:r>
    </w:p>
    <w:p w:rsidR="0053613D" w:rsidRPr="004333CE" w:rsidRDefault="0053613D" w:rsidP="0053613D">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яка/який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яка/який діє на підставі _____________, з другої Сторони, уклали цей Договір про таке:</w:t>
      </w: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1. Предмет Договору</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1.1. Виконавець зобов’язується протягом 2023 року надавати Замовнику Послуги з проведення лабораторних досліджень харчових продуктів та готових страв, код ДК 021-2015 (CPV) 71900000-7 - Лабораторні послуги : лот 1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 та /або лот 2 Послуги з проведення досліджень калорійності готових страв,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2. Порядок надання послуг</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2.1. Підставою для початку надання послуг з дослідження продукції за Договором є факт письмового звернення Замовника;</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4333CE">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2.4. Виконавець зобов</w:t>
      </w:r>
      <w:r w:rsidRPr="004333CE">
        <w:rPr>
          <w:rFonts w:ascii="Times New Roman" w:eastAsia="Times New Roman" w:hAnsi="Times New Roman" w:cs="Times New Roman"/>
          <w:sz w:val="24"/>
          <w:szCs w:val="24"/>
          <w:lang w:val="ru-RU" w:eastAsia="ar-SA"/>
        </w:rPr>
        <w:t>’</w:t>
      </w:r>
      <w:r w:rsidRPr="004333CE">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 xml:space="preserve">впродовж п’яти днів </w:t>
      </w:r>
      <w:r w:rsidRPr="004333CE">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3. Якість наданих послуг</w:t>
      </w:r>
    </w:p>
    <w:p w:rsidR="0053613D" w:rsidRPr="004333CE" w:rsidRDefault="0053613D" w:rsidP="0053613D">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53613D" w:rsidRPr="004333CE" w:rsidRDefault="0053613D" w:rsidP="0053613D">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4. Ціна і порядок розрахунків</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4333CE">
        <w:rPr>
          <w:rFonts w:ascii="Times New Roman" w:eastAsia="Times New Roman" w:hAnsi="Times New Roman" w:cs="Times New Roman"/>
          <w:sz w:val="24"/>
          <w:szCs w:val="24"/>
          <w:lang w:eastAsia="ar-SA"/>
        </w:rPr>
        <w:t xml:space="preserve"> у тому числі ПДВ – ____________, 00 грн. (_____________грн., 00 коп.); </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53613D" w:rsidRPr="004333CE" w:rsidRDefault="0053613D" w:rsidP="0053613D">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4.7. </w:t>
      </w:r>
      <w:r w:rsidRPr="004333CE">
        <w:rPr>
          <w:rFonts w:ascii="Times New Roman" w:eastAsia="Calibri" w:hAnsi="Times New Roman" w:cs="Times New Roman"/>
          <w:snapToGrid w:val="0"/>
          <w:sz w:val="24"/>
          <w:szCs w:val="24"/>
        </w:rPr>
        <w:t>Умови договору відповідають умовам тендерної пропозиції.</w:t>
      </w:r>
    </w:p>
    <w:p w:rsidR="0053613D" w:rsidRPr="004333CE" w:rsidRDefault="0053613D" w:rsidP="0053613D">
      <w:pPr>
        <w:suppressAutoHyphens/>
        <w:spacing w:after="0" w:line="240" w:lineRule="auto"/>
        <w:jc w:val="center"/>
        <w:outlineLvl w:val="0"/>
        <w:rPr>
          <w:rFonts w:ascii="Times New Roman" w:eastAsia="Times New Roman" w:hAnsi="Times New Roman" w:cs="Times New Roman"/>
          <w:b/>
          <w:bCs/>
          <w:sz w:val="24"/>
          <w:szCs w:val="24"/>
          <w:lang w:eastAsia="ar-SA"/>
        </w:rPr>
      </w:pPr>
    </w:p>
    <w:p w:rsidR="0053613D" w:rsidRPr="004333CE" w:rsidRDefault="0053613D" w:rsidP="0053613D">
      <w:pPr>
        <w:suppressAutoHyphens/>
        <w:spacing w:after="0" w:line="240" w:lineRule="auto"/>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5. Права і обов’язки сторін</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 Замовник зобов’язаний:</w:t>
      </w:r>
    </w:p>
    <w:p w:rsidR="0053613D" w:rsidRPr="004333CE" w:rsidRDefault="0053613D" w:rsidP="0053613D">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5.1.2. Приймати надані послуги згідно з актом виконаних робіт.</w:t>
      </w:r>
    </w:p>
    <w:p w:rsidR="0053613D" w:rsidRPr="004333CE" w:rsidRDefault="0053613D" w:rsidP="0053613D">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 Замовник має право:</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53613D" w:rsidRPr="004333CE" w:rsidRDefault="0053613D" w:rsidP="0053613D">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3613D" w:rsidRPr="004333CE" w:rsidRDefault="0053613D" w:rsidP="0053613D">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53613D" w:rsidRPr="004333CE" w:rsidRDefault="0053613D" w:rsidP="0053613D">
      <w:pPr>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 Виконавець зобов’язаний:</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53613D" w:rsidRPr="004333CE" w:rsidRDefault="0053613D" w:rsidP="0053613D">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 Виконавець має право:</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53613D" w:rsidRPr="004333CE" w:rsidRDefault="0053613D" w:rsidP="0053613D">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53613D" w:rsidRPr="004333CE" w:rsidRDefault="0053613D" w:rsidP="0053613D">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53613D" w:rsidRPr="004333CE" w:rsidRDefault="0053613D" w:rsidP="0053613D">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4333CE">
        <w:rPr>
          <w:rFonts w:ascii="Times New Roman" w:eastAsia="Times New Roman" w:hAnsi="Times New Roman" w:cs="Times New Roman"/>
          <w:b/>
          <w:bCs/>
          <w:spacing w:val="-2"/>
          <w:sz w:val="24"/>
          <w:szCs w:val="24"/>
          <w:lang w:eastAsia="ar-SA"/>
        </w:rPr>
        <w:t>6. Відповідальність сторін</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3613D" w:rsidRPr="004333CE" w:rsidRDefault="0053613D" w:rsidP="0053613D">
      <w:pPr>
        <w:suppressAutoHyphens/>
        <w:spacing w:after="0" w:line="240" w:lineRule="auto"/>
        <w:jc w:val="center"/>
        <w:rPr>
          <w:rFonts w:ascii="Times New Roman" w:eastAsia="Times New Roman" w:hAnsi="Times New Roman" w:cs="Times New Roman"/>
          <w:b/>
          <w:bCs/>
          <w:sz w:val="24"/>
          <w:szCs w:val="24"/>
          <w:lang w:eastAsia="ar-SA"/>
        </w:rPr>
      </w:pPr>
    </w:p>
    <w:p w:rsidR="0053613D" w:rsidRPr="004333CE" w:rsidRDefault="0053613D" w:rsidP="0053613D">
      <w:pPr>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7. Обставини непереборної сили</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eastAsia="Times New Roman" w:hAnsi="Times New Roman" w:cs="Times New Roman"/>
          <w:spacing w:val="-2"/>
          <w:sz w:val="24"/>
          <w:szCs w:val="24"/>
          <w:lang w:eastAsia="ar-SA"/>
        </w:rPr>
        <w:t>воєнні дії</w:t>
      </w:r>
      <w:r w:rsidRPr="004333CE">
        <w:rPr>
          <w:rFonts w:ascii="Times New Roman" w:eastAsia="Times New Roman" w:hAnsi="Times New Roman" w:cs="Times New Roman"/>
          <w:spacing w:val="-2"/>
          <w:sz w:val="24"/>
          <w:szCs w:val="24"/>
          <w:lang w:eastAsia="ar-SA"/>
        </w:rPr>
        <w:t xml:space="preserve"> тощо); </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4333CE">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4333CE">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4333CE">
        <w:rPr>
          <w:rFonts w:ascii="Times New Roman" w:eastAsia="Times New Roman" w:hAnsi="Times New Roman" w:cs="Times New Roman"/>
          <w:spacing w:val="-2"/>
          <w:sz w:val="24"/>
          <w:szCs w:val="24"/>
          <w:lang w:eastAsia="ar-SA"/>
        </w:rPr>
        <w:t>довідка Торгово-промислової палати України;</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53613D" w:rsidRPr="004333CE" w:rsidRDefault="0053613D" w:rsidP="0053613D">
      <w:pPr>
        <w:suppressAutoHyphens/>
        <w:spacing w:after="0" w:line="240" w:lineRule="auto"/>
        <w:jc w:val="both"/>
        <w:rPr>
          <w:rFonts w:ascii="Times New Roman" w:eastAsia="Times New Roman" w:hAnsi="Times New Roman" w:cs="Times New Roman"/>
          <w:spacing w:val="-2"/>
          <w:sz w:val="24"/>
          <w:szCs w:val="24"/>
          <w:lang w:eastAsia="ar-SA"/>
        </w:rPr>
      </w:pPr>
      <w:r w:rsidRPr="004333CE">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53613D" w:rsidRPr="004333CE" w:rsidRDefault="0053613D" w:rsidP="0053613D">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53613D" w:rsidRPr="004333CE" w:rsidRDefault="0053613D" w:rsidP="0053613D">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8. Вирішення спорів</w:t>
      </w:r>
    </w:p>
    <w:p w:rsidR="0053613D" w:rsidRPr="004333CE" w:rsidRDefault="0053613D" w:rsidP="0053613D">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53613D" w:rsidRPr="004333CE" w:rsidRDefault="0053613D" w:rsidP="0053613D">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53613D" w:rsidRPr="004333CE" w:rsidRDefault="0053613D" w:rsidP="0053613D">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9. Строк дії Договору</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9.1. Договір набирає чинності з дня підписання його Сторонами і діє до 31 грудня 2023 року або до виконання Сторонами своїх зобов’язань по цьому Договору. </w:t>
      </w:r>
    </w:p>
    <w:p w:rsidR="0053613D" w:rsidRPr="004333CE" w:rsidRDefault="0053613D" w:rsidP="0053613D">
      <w:pPr>
        <w:spacing w:after="0" w:line="240" w:lineRule="auto"/>
        <w:jc w:val="center"/>
        <w:rPr>
          <w:rFonts w:ascii="Times New Roman" w:hAnsi="Times New Roman" w:cs="Times New Roman"/>
          <w:b/>
          <w:bCs/>
          <w:sz w:val="24"/>
          <w:szCs w:val="24"/>
        </w:rPr>
      </w:pPr>
    </w:p>
    <w:p w:rsidR="0053613D" w:rsidRPr="004333CE" w:rsidRDefault="0053613D" w:rsidP="0053613D">
      <w:pPr>
        <w:spacing w:after="0" w:line="240" w:lineRule="auto"/>
        <w:jc w:val="center"/>
        <w:rPr>
          <w:rFonts w:ascii="Times New Roman" w:hAnsi="Times New Roman" w:cs="Times New Roman"/>
          <w:b/>
          <w:bCs/>
          <w:sz w:val="24"/>
          <w:szCs w:val="24"/>
        </w:rPr>
      </w:pPr>
      <w:r w:rsidRPr="004333CE">
        <w:rPr>
          <w:rFonts w:ascii="Times New Roman" w:hAnsi="Times New Roman" w:cs="Times New Roman"/>
          <w:b/>
          <w:bCs/>
          <w:sz w:val="24"/>
          <w:szCs w:val="24"/>
        </w:rPr>
        <w:t>10. Інші умови</w:t>
      </w:r>
    </w:p>
    <w:p w:rsidR="0053613D" w:rsidRPr="004333CE" w:rsidRDefault="0053613D" w:rsidP="0053613D">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53613D" w:rsidRPr="004333CE" w:rsidRDefault="0053613D" w:rsidP="0053613D">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4333CE">
        <w:rPr>
          <w:rFonts w:ascii="Times New Roman" w:hAnsi="Times New Roman" w:cs="Times New Roman"/>
          <w:sz w:val="24"/>
          <w:szCs w:val="24"/>
        </w:rPr>
        <w:t>відносин</w:t>
      </w:r>
      <w:proofErr w:type="spellEnd"/>
      <w:r w:rsidRPr="004333CE">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3613D" w:rsidRPr="004333CE" w:rsidRDefault="0053613D" w:rsidP="0053613D">
      <w:pPr>
        <w:spacing w:after="0" w:line="240" w:lineRule="auto"/>
        <w:jc w:val="both"/>
        <w:rPr>
          <w:rFonts w:ascii="Times New Roman" w:hAnsi="Times New Roman" w:cs="Times New Roman"/>
          <w:sz w:val="24"/>
          <w:szCs w:val="24"/>
        </w:rPr>
      </w:pPr>
      <w:r w:rsidRPr="004333CE">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53613D" w:rsidRPr="004333CE" w:rsidRDefault="0053613D" w:rsidP="0053613D">
      <w:pPr>
        <w:spacing w:after="0" w:line="240" w:lineRule="auto"/>
        <w:jc w:val="both"/>
        <w:rPr>
          <w:rFonts w:ascii="Times New Roman" w:eastAsia="Calibri" w:hAnsi="Times New Roman" w:cs="Times New Roman"/>
          <w:snapToGrid w:val="0"/>
          <w:sz w:val="24"/>
          <w:szCs w:val="24"/>
        </w:rPr>
      </w:pPr>
      <w:r w:rsidRPr="004333CE">
        <w:rPr>
          <w:rFonts w:ascii="Times New Roman" w:hAnsi="Times New Roman" w:cs="Times New Roman"/>
          <w:sz w:val="24"/>
          <w:szCs w:val="24"/>
        </w:rPr>
        <w:t xml:space="preserve">10.4. </w:t>
      </w:r>
      <w:r w:rsidRPr="004333CE">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4333CE">
        <w:rPr>
          <w:rFonts w:ascii="Times New Roman" w:hAnsi="Times New Roman" w:cs="Times New Roman"/>
          <w:bCs/>
          <w:sz w:val="24"/>
          <w:szCs w:val="24"/>
        </w:rPr>
        <w:t xml:space="preserve"> (Продавця)</w:t>
      </w:r>
      <w:r w:rsidRPr="004333CE">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53613D" w:rsidRPr="004333CE" w:rsidRDefault="0053613D" w:rsidP="0053613D">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613D" w:rsidRPr="004333CE" w:rsidRDefault="0053613D" w:rsidP="0053613D">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5" w:anchor="n1778" w:tgtFrame="_blank" w:history="1">
        <w:r w:rsidRPr="004333CE">
          <w:rPr>
            <w:rStyle w:val="a4"/>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53613D" w:rsidRPr="004333CE" w:rsidRDefault="0053613D" w:rsidP="0053613D">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53613D" w:rsidRPr="004333CE" w:rsidRDefault="0053613D" w:rsidP="0053613D">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4333CE">
          <w:rPr>
            <w:rStyle w:val="a4"/>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53613D" w:rsidRPr="004333CE" w:rsidRDefault="0053613D" w:rsidP="0053613D">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53613D" w:rsidRPr="004333CE" w:rsidRDefault="0053613D" w:rsidP="0053613D">
      <w:pPr>
        <w:suppressAutoHyphens/>
        <w:spacing w:after="0" w:line="240" w:lineRule="auto"/>
        <w:jc w:val="center"/>
        <w:rPr>
          <w:rFonts w:ascii="Times New Roman" w:eastAsia="Times New Roman" w:hAnsi="Times New Roman" w:cs="Times New Roman"/>
          <w:b/>
          <w:sz w:val="24"/>
          <w:szCs w:val="24"/>
          <w:lang w:eastAsia="ar-SA"/>
        </w:rPr>
      </w:pPr>
    </w:p>
    <w:p w:rsidR="0053613D" w:rsidRPr="004333CE" w:rsidRDefault="0053613D" w:rsidP="0053613D">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53613D" w:rsidRPr="004333CE" w:rsidRDefault="0053613D" w:rsidP="0053613D">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53613D" w:rsidRPr="004333CE" w:rsidRDefault="0053613D" w:rsidP="0053613D">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53613D" w:rsidRPr="004333CE" w:rsidRDefault="0053613D" w:rsidP="0053613D">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53613D" w:rsidRPr="004333CE" w:rsidRDefault="0053613D" w:rsidP="0053613D">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53613D" w:rsidRPr="004333CE" w:rsidTr="003F34CE">
        <w:trPr>
          <w:trHeight w:val="80"/>
        </w:trPr>
        <w:tc>
          <w:tcPr>
            <w:tcW w:w="5246" w:type="dxa"/>
          </w:tcPr>
          <w:p w:rsidR="0053613D" w:rsidRPr="004333CE" w:rsidRDefault="0053613D" w:rsidP="003F34CE">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53613D" w:rsidRPr="004333CE" w:rsidRDefault="0053613D" w:rsidP="003F34CE">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53613D" w:rsidRPr="004333CE" w:rsidTr="003F34CE">
        <w:tc>
          <w:tcPr>
            <w:tcW w:w="5246" w:type="dxa"/>
          </w:tcPr>
          <w:p w:rsidR="0053613D" w:rsidRPr="004333CE" w:rsidRDefault="0053613D" w:rsidP="003F34C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53613D" w:rsidRPr="004333CE" w:rsidRDefault="0053613D" w:rsidP="003F34CE">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9" w:name="_GoBack"/>
      <w:bookmarkEnd w:id="9"/>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Додаток 1</w:t>
      </w: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до договору про закупівлю</w:t>
      </w:r>
    </w:p>
    <w:p w:rsidR="0053613D" w:rsidRPr="004333CE" w:rsidRDefault="0053613D" w:rsidP="0053613D">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послуг за державні кошти</w:t>
      </w:r>
    </w:p>
    <w:p w:rsidR="0053613D" w:rsidRPr="004333CE" w:rsidRDefault="0053613D" w:rsidP="0053613D">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Специфікація</w:t>
      </w:r>
    </w:p>
    <w:p w:rsidR="0053613D" w:rsidRPr="004333CE" w:rsidRDefault="0053613D" w:rsidP="0053613D">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4333CE">
        <w:rPr>
          <w:rFonts w:ascii="Times New Roman" w:eastAsia="Times New Roman" w:hAnsi="Times New Roman" w:cs="Times New Roman"/>
          <w:b/>
          <w:bCs/>
          <w:sz w:val="24"/>
          <w:szCs w:val="24"/>
          <w:lang w:eastAsia="ar-SA"/>
        </w:rPr>
        <w:tab/>
      </w:r>
      <w:r w:rsidRPr="004333CE">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4333CE">
        <w:rPr>
          <w:rFonts w:ascii="Times New Roman" w:eastAsia="Times New Roman" w:hAnsi="Times New Roman" w:cs="Times New Roman"/>
          <w:sz w:val="24"/>
          <w:szCs w:val="24"/>
          <w:u w:val="single"/>
          <w:lang w:eastAsia="ar-SA"/>
        </w:rPr>
        <w:t>Переможець процедури закупівлі</w:t>
      </w:r>
      <w:r w:rsidRPr="004333CE">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4333CE">
        <w:rPr>
          <w:rFonts w:ascii="Times New Roman" w:eastAsia="Times New Roman" w:hAnsi="Times New Roman" w:cs="Times New Roman"/>
          <w:bCs/>
          <w:sz w:val="24"/>
          <w:szCs w:val="24"/>
          <w:lang w:eastAsia="ar-SA"/>
        </w:rPr>
        <w:t>, склали цю специфікацію про обсяг, перелік послуг до договору:</w:t>
      </w:r>
    </w:p>
    <w:p w:rsidR="0053613D" w:rsidRPr="004333CE" w:rsidRDefault="0053613D" w:rsidP="0053613D">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Лот 1. Послуги з проведення мікробіологічних досліджень готових страв, харчових продуктів та калорійності готових страв, код ДК 021-2015 (CPV) 71900000-7 - Лабораторні послуги</w:t>
      </w:r>
    </w:p>
    <w:tbl>
      <w:tblPr>
        <w:tblStyle w:val="a3"/>
        <w:tblW w:w="9915" w:type="dxa"/>
        <w:tblLook w:val="01E0" w:firstRow="1" w:lastRow="1" w:firstColumn="1" w:lastColumn="1" w:noHBand="0" w:noVBand="0"/>
      </w:tblPr>
      <w:tblGrid>
        <w:gridCol w:w="612"/>
        <w:gridCol w:w="1892"/>
        <w:gridCol w:w="3077"/>
        <w:gridCol w:w="1266"/>
        <w:gridCol w:w="1534"/>
        <w:gridCol w:w="1534"/>
      </w:tblGrid>
      <w:tr w:rsidR="0053613D" w:rsidRPr="004333CE" w:rsidTr="003F34CE">
        <w:trPr>
          <w:trHeight w:val="1141"/>
        </w:trPr>
        <w:tc>
          <w:tcPr>
            <w:tcW w:w="612" w:type="dxa"/>
            <w:vAlign w:val="center"/>
          </w:tcPr>
          <w:p w:rsidR="0053613D" w:rsidRPr="004333CE" w:rsidRDefault="0053613D" w:rsidP="003F34CE">
            <w:pPr>
              <w:jc w:val="center"/>
            </w:pPr>
            <w:r w:rsidRPr="004333CE">
              <w:t>№ п/</w:t>
            </w:r>
            <w:proofErr w:type="spellStart"/>
            <w:r w:rsidRPr="004333CE">
              <w:t>п</w:t>
            </w:r>
            <w:proofErr w:type="spellEnd"/>
          </w:p>
        </w:tc>
        <w:tc>
          <w:tcPr>
            <w:tcW w:w="1892" w:type="dxa"/>
            <w:vAlign w:val="center"/>
          </w:tcPr>
          <w:p w:rsidR="0053613D" w:rsidRPr="004333CE" w:rsidRDefault="0053613D" w:rsidP="003F34CE">
            <w:pPr>
              <w:jc w:val="center"/>
            </w:pPr>
            <w:r w:rsidRPr="004333CE">
              <w:t>Назва досліджень</w:t>
            </w:r>
          </w:p>
        </w:tc>
        <w:tc>
          <w:tcPr>
            <w:tcW w:w="3077" w:type="dxa"/>
            <w:vAlign w:val="center"/>
          </w:tcPr>
          <w:p w:rsidR="0053613D" w:rsidRPr="004333CE" w:rsidRDefault="0053613D" w:rsidP="003F34CE">
            <w:pPr>
              <w:jc w:val="center"/>
            </w:pPr>
            <w:r w:rsidRPr="004333CE">
              <w:t>Характеристика (показників, параметрів), що визначаються</w:t>
            </w:r>
          </w:p>
        </w:tc>
        <w:tc>
          <w:tcPr>
            <w:tcW w:w="1266" w:type="dxa"/>
            <w:vAlign w:val="center"/>
          </w:tcPr>
          <w:p w:rsidR="0053613D" w:rsidRPr="004333CE" w:rsidRDefault="0053613D" w:rsidP="003F34CE">
            <w:pPr>
              <w:suppressAutoHyphens/>
              <w:jc w:val="center"/>
              <w:rPr>
                <w:lang w:eastAsia="ar-SA"/>
              </w:rPr>
            </w:pPr>
            <w:r w:rsidRPr="004333CE">
              <w:rPr>
                <w:lang w:eastAsia="ar-SA"/>
              </w:rPr>
              <w:t xml:space="preserve">Кількість досліджень на рік (послуг) </w:t>
            </w:r>
          </w:p>
        </w:tc>
        <w:tc>
          <w:tcPr>
            <w:tcW w:w="1534" w:type="dxa"/>
            <w:vAlign w:val="center"/>
          </w:tcPr>
          <w:p w:rsidR="0053613D" w:rsidRPr="004333CE" w:rsidRDefault="0053613D" w:rsidP="003F34CE">
            <w:pPr>
              <w:suppressAutoHyphens/>
              <w:jc w:val="center"/>
              <w:rPr>
                <w:lang w:eastAsia="ar-SA"/>
              </w:rPr>
            </w:pPr>
            <w:r w:rsidRPr="004333CE">
              <w:rPr>
                <w:lang w:eastAsia="ar-SA"/>
              </w:rPr>
              <w:t>Вартість одного дослідження з ПДВ (грн.)</w:t>
            </w:r>
          </w:p>
        </w:tc>
        <w:tc>
          <w:tcPr>
            <w:tcW w:w="1534" w:type="dxa"/>
            <w:vAlign w:val="center"/>
          </w:tcPr>
          <w:p w:rsidR="0053613D" w:rsidRPr="004333CE" w:rsidRDefault="0053613D" w:rsidP="003F34CE">
            <w:pPr>
              <w:suppressAutoHyphens/>
              <w:jc w:val="center"/>
              <w:rPr>
                <w:lang w:eastAsia="ar-SA"/>
              </w:rPr>
            </w:pPr>
            <w:r w:rsidRPr="004333CE">
              <w:rPr>
                <w:lang w:eastAsia="ar-SA"/>
              </w:rPr>
              <w:t>Загальна ціна досліджень (послуг) з ПДВ (грн.)</w:t>
            </w: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1</w:t>
            </w:r>
          </w:p>
        </w:tc>
        <w:tc>
          <w:tcPr>
            <w:tcW w:w="1892" w:type="dxa"/>
            <w:vMerge w:val="restart"/>
            <w:vAlign w:val="center"/>
          </w:tcPr>
          <w:p w:rsidR="0053613D" w:rsidRPr="004333CE" w:rsidRDefault="0053613D" w:rsidP="003F34CE">
            <w:pPr>
              <w:suppressAutoHyphens/>
              <w:jc w:val="center"/>
              <w:rPr>
                <w:lang w:eastAsia="ar-SA"/>
              </w:rPr>
            </w:pPr>
            <w:r w:rsidRPr="004333CE">
              <w:t>Мікробіологічні дослідження готових страв, харчових продуктів</w:t>
            </w:r>
          </w:p>
        </w:tc>
        <w:tc>
          <w:tcPr>
            <w:tcW w:w="3077" w:type="dxa"/>
            <w:vAlign w:val="center"/>
          </w:tcPr>
          <w:p w:rsidR="0053613D" w:rsidRPr="004333CE" w:rsidRDefault="0053613D" w:rsidP="003F34CE">
            <w:pPr>
              <w:suppressAutoHyphens/>
              <w:rPr>
                <w:lang w:eastAsia="ar-SA"/>
              </w:rPr>
            </w:pPr>
            <w:r w:rsidRPr="004333CE">
              <w:t xml:space="preserve">МАФАМ </w:t>
            </w:r>
          </w:p>
        </w:tc>
        <w:tc>
          <w:tcPr>
            <w:tcW w:w="1266" w:type="dxa"/>
            <w:vAlign w:val="center"/>
          </w:tcPr>
          <w:p w:rsidR="0053613D" w:rsidRPr="004333CE" w:rsidRDefault="0053613D" w:rsidP="003F34CE">
            <w:pPr>
              <w:suppressAutoHyphens/>
              <w:jc w:val="center"/>
              <w:rPr>
                <w:lang w:eastAsia="ar-SA"/>
              </w:rPr>
            </w:pPr>
            <w:r w:rsidRPr="004333CE">
              <w:t>120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2</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r w:rsidRPr="004333CE">
              <w:t>БГКП (колі форми)</w:t>
            </w:r>
          </w:p>
        </w:tc>
        <w:tc>
          <w:tcPr>
            <w:tcW w:w="1266" w:type="dxa"/>
            <w:vAlign w:val="center"/>
          </w:tcPr>
          <w:p w:rsidR="0053613D" w:rsidRPr="004333CE" w:rsidRDefault="0053613D" w:rsidP="003F34CE">
            <w:pPr>
              <w:suppressAutoHyphens/>
              <w:jc w:val="center"/>
              <w:rPr>
                <w:lang w:eastAsia="ar-SA"/>
              </w:rPr>
            </w:pPr>
            <w:r w:rsidRPr="004333CE">
              <w:t>120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3</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r w:rsidRPr="004333CE">
              <w:t>E.coli, в тому числі патогенні серотипи</w:t>
            </w:r>
          </w:p>
        </w:tc>
        <w:tc>
          <w:tcPr>
            <w:tcW w:w="1266" w:type="dxa"/>
            <w:vAlign w:val="center"/>
          </w:tcPr>
          <w:p w:rsidR="0053613D" w:rsidRPr="004333CE" w:rsidRDefault="0053613D" w:rsidP="003F34CE">
            <w:pPr>
              <w:suppressAutoHyphens/>
              <w:jc w:val="center"/>
              <w:rPr>
                <w:lang w:eastAsia="ar-SA"/>
              </w:rPr>
            </w:pPr>
            <w:r w:rsidRPr="004333CE">
              <w:t>50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4</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r w:rsidRPr="004333CE">
              <w:t xml:space="preserve">Бактерії роду </w:t>
            </w:r>
            <w:proofErr w:type="spellStart"/>
            <w:r w:rsidRPr="004333CE">
              <w:t>Proteus</w:t>
            </w:r>
            <w:proofErr w:type="spellEnd"/>
          </w:p>
        </w:tc>
        <w:tc>
          <w:tcPr>
            <w:tcW w:w="1266" w:type="dxa"/>
            <w:vAlign w:val="center"/>
          </w:tcPr>
          <w:p w:rsidR="0053613D" w:rsidRPr="004333CE" w:rsidRDefault="0053613D" w:rsidP="003F34CE">
            <w:pPr>
              <w:suppressAutoHyphens/>
              <w:jc w:val="center"/>
              <w:rPr>
                <w:lang w:eastAsia="ar-SA"/>
              </w:rPr>
            </w:pPr>
            <w:r w:rsidRPr="004333CE">
              <w:t>90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5</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proofErr w:type="spellStart"/>
            <w:r w:rsidRPr="004333CE">
              <w:t>Staphylococcus</w:t>
            </w:r>
            <w:proofErr w:type="spellEnd"/>
            <w:r w:rsidRPr="004333CE">
              <w:t xml:space="preserve"> aureus</w:t>
            </w:r>
          </w:p>
        </w:tc>
        <w:tc>
          <w:tcPr>
            <w:tcW w:w="1266" w:type="dxa"/>
            <w:vAlign w:val="center"/>
          </w:tcPr>
          <w:p w:rsidR="0053613D" w:rsidRPr="004333CE" w:rsidRDefault="0053613D" w:rsidP="003F34CE">
            <w:pPr>
              <w:suppressAutoHyphens/>
              <w:jc w:val="center"/>
              <w:rPr>
                <w:lang w:eastAsia="ar-SA"/>
              </w:rPr>
            </w:pPr>
            <w:r w:rsidRPr="004333CE">
              <w:t>120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6</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proofErr w:type="spellStart"/>
            <w:r w:rsidRPr="004333CE">
              <w:t>Salmonella</w:t>
            </w:r>
            <w:proofErr w:type="spellEnd"/>
          </w:p>
        </w:tc>
        <w:tc>
          <w:tcPr>
            <w:tcW w:w="1266" w:type="dxa"/>
            <w:vAlign w:val="center"/>
          </w:tcPr>
          <w:p w:rsidR="0053613D" w:rsidRPr="004333CE" w:rsidRDefault="0053613D" w:rsidP="003F34CE">
            <w:pPr>
              <w:suppressAutoHyphens/>
              <w:jc w:val="center"/>
              <w:rPr>
                <w:lang w:eastAsia="ar-SA"/>
              </w:rPr>
            </w:pPr>
            <w:r w:rsidRPr="004333CE">
              <w:t>120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7</w:t>
            </w:r>
          </w:p>
        </w:tc>
        <w:tc>
          <w:tcPr>
            <w:tcW w:w="1892" w:type="dxa"/>
            <w:vMerge/>
          </w:tcPr>
          <w:p w:rsidR="0053613D" w:rsidRPr="004333CE" w:rsidRDefault="0053613D" w:rsidP="003F34CE">
            <w:pPr>
              <w:suppressAutoHyphens/>
            </w:pPr>
          </w:p>
        </w:tc>
        <w:tc>
          <w:tcPr>
            <w:tcW w:w="3077" w:type="dxa"/>
            <w:vAlign w:val="center"/>
          </w:tcPr>
          <w:p w:rsidR="0053613D" w:rsidRPr="004333CE" w:rsidRDefault="0053613D" w:rsidP="003F34CE">
            <w:pPr>
              <w:suppressAutoHyphens/>
            </w:pPr>
            <w:r w:rsidRPr="004333CE">
              <w:t>Пробопідготовка для мікробіологічних досліджень</w:t>
            </w:r>
          </w:p>
        </w:tc>
        <w:tc>
          <w:tcPr>
            <w:tcW w:w="1266" w:type="dxa"/>
            <w:vAlign w:val="center"/>
          </w:tcPr>
          <w:p w:rsidR="0053613D" w:rsidRPr="004333CE" w:rsidRDefault="0053613D" w:rsidP="003F34CE">
            <w:pPr>
              <w:suppressAutoHyphens/>
              <w:jc w:val="center"/>
              <w:rPr>
                <w:lang w:eastAsia="ar-SA"/>
              </w:rPr>
            </w:pPr>
            <w:r w:rsidRPr="004333CE">
              <w:t>120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8381" w:type="dxa"/>
            <w:gridSpan w:val="5"/>
          </w:tcPr>
          <w:p w:rsidR="0053613D" w:rsidRPr="004333CE" w:rsidRDefault="0053613D" w:rsidP="003F34CE">
            <w:r w:rsidRPr="004333CE">
              <w:t>Вартість без ПДВ, грн.</w:t>
            </w:r>
          </w:p>
        </w:tc>
        <w:tc>
          <w:tcPr>
            <w:tcW w:w="1534" w:type="dxa"/>
          </w:tcPr>
          <w:p w:rsidR="0053613D" w:rsidRPr="004333CE" w:rsidRDefault="0053613D" w:rsidP="003F34CE">
            <w:pPr>
              <w:suppressAutoHyphens/>
              <w:rPr>
                <w:lang w:eastAsia="ar-SA"/>
              </w:rPr>
            </w:pPr>
          </w:p>
        </w:tc>
      </w:tr>
      <w:tr w:rsidR="0053613D" w:rsidRPr="004333CE" w:rsidTr="003F34CE">
        <w:trPr>
          <w:trHeight w:val="217"/>
        </w:trPr>
        <w:tc>
          <w:tcPr>
            <w:tcW w:w="8381" w:type="dxa"/>
            <w:gridSpan w:val="5"/>
          </w:tcPr>
          <w:p w:rsidR="0053613D" w:rsidRPr="004333CE" w:rsidRDefault="0053613D" w:rsidP="003F34CE">
            <w:r w:rsidRPr="004333CE">
              <w:t>ПДВ, грн.</w:t>
            </w:r>
          </w:p>
        </w:tc>
        <w:tc>
          <w:tcPr>
            <w:tcW w:w="1534" w:type="dxa"/>
          </w:tcPr>
          <w:p w:rsidR="0053613D" w:rsidRPr="004333CE" w:rsidRDefault="0053613D" w:rsidP="003F34CE">
            <w:pPr>
              <w:suppressAutoHyphens/>
              <w:rPr>
                <w:lang w:eastAsia="ar-SA"/>
              </w:rPr>
            </w:pPr>
          </w:p>
        </w:tc>
      </w:tr>
      <w:tr w:rsidR="0053613D" w:rsidRPr="004333CE" w:rsidTr="003F34CE">
        <w:trPr>
          <w:trHeight w:val="240"/>
        </w:trPr>
        <w:tc>
          <w:tcPr>
            <w:tcW w:w="8381" w:type="dxa"/>
            <w:gridSpan w:val="5"/>
          </w:tcPr>
          <w:p w:rsidR="0053613D" w:rsidRPr="004333CE" w:rsidRDefault="0053613D" w:rsidP="003F34CE">
            <w:r w:rsidRPr="004333CE">
              <w:t>Загальна вартість з ПДВ, грн.</w:t>
            </w:r>
          </w:p>
        </w:tc>
        <w:tc>
          <w:tcPr>
            <w:tcW w:w="1534" w:type="dxa"/>
          </w:tcPr>
          <w:p w:rsidR="0053613D" w:rsidRPr="004333CE" w:rsidRDefault="0053613D" w:rsidP="003F34CE">
            <w:pPr>
              <w:suppressAutoHyphens/>
              <w:rPr>
                <w:lang w:eastAsia="ar-SA"/>
              </w:rPr>
            </w:pPr>
          </w:p>
        </w:tc>
      </w:tr>
    </w:tbl>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та/або</w:t>
      </w:r>
    </w:p>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53613D" w:rsidRPr="004333CE" w:rsidRDefault="0053613D" w:rsidP="0053613D">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Лот 2. Послуги з проведення досліджень калорійності готових страв, код ДК 021-2015 (CPV) 71900000-7 - Лабораторні послуги</w:t>
      </w:r>
    </w:p>
    <w:p w:rsidR="0053613D" w:rsidRPr="004333CE" w:rsidRDefault="0053613D" w:rsidP="0053613D">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p>
    <w:tbl>
      <w:tblPr>
        <w:tblStyle w:val="a3"/>
        <w:tblW w:w="9915" w:type="dxa"/>
        <w:tblLook w:val="01E0" w:firstRow="1" w:lastRow="1" w:firstColumn="1" w:lastColumn="1" w:noHBand="0" w:noVBand="0"/>
      </w:tblPr>
      <w:tblGrid>
        <w:gridCol w:w="612"/>
        <w:gridCol w:w="1892"/>
        <w:gridCol w:w="3077"/>
        <w:gridCol w:w="1266"/>
        <w:gridCol w:w="1534"/>
        <w:gridCol w:w="1534"/>
      </w:tblGrid>
      <w:tr w:rsidR="0053613D" w:rsidRPr="004333CE" w:rsidTr="003F34CE">
        <w:trPr>
          <w:trHeight w:val="1141"/>
        </w:trPr>
        <w:tc>
          <w:tcPr>
            <w:tcW w:w="612" w:type="dxa"/>
            <w:vAlign w:val="center"/>
          </w:tcPr>
          <w:p w:rsidR="0053613D" w:rsidRPr="004333CE" w:rsidRDefault="0053613D" w:rsidP="003F34CE">
            <w:pPr>
              <w:jc w:val="center"/>
            </w:pPr>
            <w:r w:rsidRPr="004333CE">
              <w:t>№ п/</w:t>
            </w:r>
            <w:proofErr w:type="spellStart"/>
            <w:r w:rsidRPr="004333CE">
              <w:t>п</w:t>
            </w:r>
            <w:proofErr w:type="spellEnd"/>
          </w:p>
        </w:tc>
        <w:tc>
          <w:tcPr>
            <w:tcW w:w="1892" w:type="dxa"/>
            <w:vAlign w:val="center"/>
          </w:tcPr>
          <w:p w:rsidR="0053613D" w:rsidRPr="004333CE" w:rsidRDefault="0053613D" w:rsidP="003F34CE">
            <w:pPr>
              <w:jc w:val="center"/>
            </w:pPr>
            <w:r w:rsidRPr="004333CE">
              <w:t>Назва досліджень</w:t>
            </w:r>
          </w:p>
        </w:tc>
        <w:tc>
          <w:tcPr>
            <w:tcW w:w="3077" w:type="dxa"/>
            <w:vAlign w:val="center"/>
          </w:tcPr>
          <w:p w:rsidR="0053613D" w:rsidRPr="004333CE" w:rsidRDefault="0053613D" w:rsidP="003F34CE">
            <w:pPr>
              <w:jc w:val="center"/>
            </w:pPr>
            <w:r w:rsidRPr="004333CE">
              <w:t>Характеристика (показників, параметрів), що визначаються</w:t>
            </w:r>
          </w:p>
        </w:tc>
        <w:tc>
          <w:tcPr>
            <w:tcW w:w="1266" w:type="dxa"/>
            <w:vAlign w:val="center"/>
          </w:tcPr>
          <w:p w:rsidR="0053613D" w:rsidRPr="004333CE" w:rsidRDefault="0053613D" w:rsidP="003F34CE">
            <w:pPr>
              <w:suppressAutoHyphens/>
              <w:jc w:val="center"/>
              <w:rPr>
                <w:lang w:eastAsia="ar-SA"/>
              </w:rPr>
            </w:pPr>
            <w:r w:rsidRPr="004333CE">
              <w:rPr>
                <w:lang w:eastAsia="ar-SA"/>
              </w:rPr>
              <w:t xml:space="preserve">Кількість досліджень на рік (послуг) </w:t>
            </w:r>
          </w:p>
        </w:tc>
        <w:tc>
          <w:tcPr>
            <w:tcW w:w="1534" w:type="dxa"/>
            <w:vAlign w:val="center"/>
          </w:tcPr>
          <w:p w:rsidR="0053613D" w:rsidRPr="004333CE" w:rsidRDefault="0053613D" w:rsidP="003F34CE">
            <w:pPr>
              <w:suppressAutoHyphens/>
              <w:jc w:val="center"/>
              <w:rPr>
                <w:lang w:eastAsia="ar-SA"/>
              </w:rPr>
            </w:pPr>
            <w:r w:rsidRPr="004333CE">
              <w:rPr>
                <w:lang w:eastAsia="ar-SA"/>
              </w:rPr>
              <w:t>Вартість одного дослідження з ПДВ (грн.)</w:t>
            </w:r>
          </w:p>
        </w:tc>
        <w:tc>
          <w:tcPr>
            <w:tcW w:w="1534" w:type="dxa"/>
            <w:vAlign w:val="center"/>
          </w:tcPr>
          <w:p w:rsidR="0053613D" w:rsidRPr="004333CE" w:rsidRDefault="0053613D" w:rsidP="003F34CE">
            <w:pPr>
              <w:suppressAutoHyphens/>
              <w:jc w:val="center"/>
              <w:rPr>
                <w:lang w:eastAsia="ar-SA"/>
              </w:rPr>
            </w:pPr>
            <w:r w:rsidRPr="004333CE">
              <w:rPr>
                <w:lang w:eastAsia="ar-SA"/>
              </w:rPr>
              <w:t>Загальна ціна досліджень (послуг) з ПДВ (грн.)</w:t>
            </w:r>
          </w:p>
        </w:tc>
      </w:tr>
      <w:tr w:rsidR="0053613D" w:rsidRPr="004333CE" w:rsidTr="003F34CE">
        <w:trPr>
          <w:trHeight w:val="228"/>
        </w:trPr>
        <w:tc>
          <w:tcPr>
            <w:tcW w:w="612" w:type="dxa"/>
            <w:vAlign w:val="center"/>
          </w:tcPr>
          <w:p w:rsidR="0053613D" w:rsidRPr="004333CE" w:rsidRDefault="0053613D" w:rsidP="003F34CE">
            <w:pPr>
              <w:suppressAutoHyphens/>
              <w:jc w:val="center"/>
              <w:rPr>
                <w:lang w:eastAsia="ar-SA"/>
              </w:rPr>
            </w:pPr>
            <w:r w:rsidRPr="004333CE">
              <w:rPr>
                <w:lang w:eastAsia="ar-SA"/>
              </w:rPr>
              <w:t>1</w:t>
            </w:r>
          </w:p>
        </w:tc>
        <w:tc>
          <w:tcPr>
            <w:tcW w:w="1892" w:type="dxa"/>
            <w:vAlign w:val="center"/>
          </w:tcPr>
          <w:p w:rsidR="0053613D" w:rsidRPr="002E5226" w:rsidRDefault="0053613D" w:rsidP="003F34CE">
            <w:pPr>
              <w:jc w:val="center"/>
              <w:rPr>
                <w:lang w:eastAsia="ru-RU"/>
              </w:rPr>
            </w:pPr>
            <w:r w:rsidRPr="002E5226">
              <w:rPr>
                <w:lang w:eastAsia="ru-RU"/>
              </w:rPr>
              <w:t>Калорійність</w:t>
            </w:r>
          </w:p>
          <w:p w:rsidR="0053613D" w:rsidRPr="004333CE" w:rsidRDefault="0053613D" w:rsidP="003F34CE">
            <w:pPr>
              <w:suppressAutoHyphens/>
              <w:jc w:val="center"/>
              <w:rPr>
                <w:lang w:eastAsia="ar-SA"/>
              </w:rPr>
            </w:pPr>
            <w:r w:rsidRPr="002E5226">
              <w:rPr>
                <w:lang w:eastAsia="ru-RU"/>
              </w:rPr>
              <w:t>готових страв</w:t>
            </w:r>
          </w:p>
        </w:tc>
        <w:tc>
          <w:tcPr>
            <w:tcW w:w="3077" w:type="dxa"/>
            <w:vAlign w:val="center"/>
          </w:tcPr>
          <w:p w:rsidR="0053613D" w:rsidRPr="004333CE" w:rsidRDefault="0053613D" w:rsidP="003F34CE">
            <w:pPr>
              <w:suppressAutoHyphens/>
              <w:rPr>
                <w:lang w:eastAsia="ar-SA"/>
              </w:rPr>
            </w:pPr>
            <w:r w:rsidRPr="002E5226">
              <w:rPr>
                <w:lang w:eastAsia="ru-RU"/>
              </w:rPr>
              <w:t>Теоретичний розрахунок</w:t>
            </w:r>
          </w:p>
        </w:tc>
        <w:tc>
          <w:tcPr>
            <w:tcW w:w="1266" w:type="dxa"/>
            <w:vAlign w:val="center"/>
          </w:tcPr>
          <w:p w:rsidR="0053613D" w:rsidRPr="004333CE" w:rsidRDefault="0053613D" w:rsidP="003F34CE">
            <w:pPr>
              <w:suppressAutoHyphens/>
              <w:jc w:val="center"/>
              <w:rPr>
                <w:lang w:eastAsia="ar-SA"/>
              </w:rPr>
            </w:pPr>
            <w:r w:rsidRPr="002E5226">
              <w:rPr>
                <w:lang w:eastAsia="ru-RU"/>
              </w:rPr>
              <w:t>150</w:t>
            </w:r>
          </w:p>
        </w:tc>
        <w:tc>
          <w:tcPr>
            <w:tcW w:w="1534" w:type="dxa"/>
            <w:vAlign w:val="center"/>
          </w:tcPr>
          <w:p w:rsidR="0053613D" w:rsidRPr="004333CE" w:rsidRDefault="0053613D" w:rsidP="003F34CE">
            <w:pPr>
              <w:suppressAutoHyphens/>
              <w:jc w:val="center"/>
              <w:rPr>
                <w:lang w:eastAsia="ar-SA"/>
              </w:rPr>
            </w:pPr>
          </w:p>
        </w:tc>
        <w:tc>
          <w:tcPr>
            <w:tcW w:w="1534" w:type="dxa"/>
            <w:vAlign w:val="center"/>
          </w:tcPr>
          <w:p w:rsidR="0053613D" w:rsidRPr="004333CE" w:rsidRDefault="0053613D" w:rsidP="003F34CE">
            <w:pPr>
              <w:suppressAutoHyphens/>
              <w:jc w:val="center"/>
              <w:rPr>
                <w:lang w:eastAsia="ar-SA"/>
              </w:rPr>
            </w:pPr>
          </w:p>
        </w:tc>
      </w:tr>
      <w:tr w:rsidR="0053613D" w:rsidRPr="004333CE" w:rsidTr="003F34CE">
        <w:trPr>
          <w:trHeight w:val="228"/>
        </w:trPr>
        <w:tc>
          <w:tcPr>
            <w:tcW w:w="8381" w:type="dxa"/>
            <w:gridSpan w:val="5"/>
          </w:tcPr>
          <w:p w:rsidR="0053613D" w:rsidRPr="004333CE" w:rsidRDefault="0053613D" w:rsidP="003F34CE">
            <w:r w:rsidRPr="004333CE">
              <w:t>Вартість без ПДВ, грн.</w:t>
            </w:r>
          </w:p>
        </w:tc>
        <w:tc>
          <w:tcPr>
            <w:tcW w:w="1534" w:type="dxa"/>
          </w:tcPr>
          <w:p w:rsidR="0053613D" w:rsidRPr="004333CE" w:rsidRDefault="0053613D" w:rsidP="003F34CE">
            <w:pPr>
              <w:suppressAutoHyphens/>
              <w:rPr>
                <w:lang w:eastAsia="ar-SA"/>
              </w:rPr>
            </w:pPr>
          </w:p>
        </w:tc>
      </w:tr>
      <w:tr w:rsidR="0053613D" w:rsidRPr="004333CE" w:rsidTr="003F34CE">
        <w:trPr>
          <w:trHeight w:val="217"/>
        </w:trPr>
        <w:tc>
          <w:tcPr>
            <w:tcW w:w="8381" w:type="dxa"/>
            <w:gridSpan w:val="5"/>
          </w:tcPr>
          <w:p w:rsidR="0053613D" w:rsidRPr="004333CE" w:rsidRDefault="0053613D" w:rsidP="003F34CE">
            <w:r w:rsidRPr="004333CE">
              <w:t>ПДВ, грн.</w:t>
            </w:r>
          </w:p>
        </w:tc>
        <w:tc>
          <w:tcPr>
            <w:tcW w:w="1534" w:type="dxa"/>
          </w:tcPr>
          <w:p w:rsidR="0053613D" w:rsidRPr="004333CE" w:rsidRDefault="0053613D" w:rsidP="003F34CE">
            <w:pPr>
              <w:suppressAutoHyphens/>
              <w:rPr>
                <w:lang w:eastAsia="ar-SA"/>
              </w:rPr>
            </w:pPr>
          </w:p>
        </w:tc>
      </w:tr>
      <w:tr w:rsidR="0053613D" w:rsidRPr="004333CE" w:rsidTr="003F34CE">
        <w:trPr>
          <w:trHeight w:val="240"/>
        </w:trPr>
        <w:tc>
          <w:tcPr>
            <w:tcW w:w="8381" w:type="dxa"/>
            <w:gridSpan w:val="5"/>
          </w:tcPr>
          <w:p w:rsidR="0053613D" w:rsidRPr="004333CE" w:rsidRDefault="0053613D" w:rsidP="003F34CE">
            <w:r w:rsidRPr="004333CE">
              <w:t>Загальна вартість з ПДВ, грн.</w:t>
            </w:r>
          </w:p>
        </w:tc>
        <w:tc>
          <w:tcPr>
            <w:tcW w:w="1534" w:type="dxa"/>
          </w:tcPr>
          <w:p w:rsidR="0053613D" w:rsidRPr="004333CE" w:rsidRDefault="0053613D" w:rsidP="003F34CE">
            <w:pPr>
              <w:suppressAutoHyphens/>
              <w:rPr>
                <w:lang w:eastAsia="ar-SA"/>
              </w:rPr>
            </w:pPr>
          </w:p>
        </w:tc>
      </w:tr>
    </w:tbl>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4333CE">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53613D" w:rsidRPr="004333CE" w:rsidRDefault="0053613D" w:rsidP="0053613D">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53613D" w:rsidRPr="004333CE" w:rsidRDefault="0053613D" w:rsidP="0053613D">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sidRPr="004333CE">
        <w:rPr>
          <w:rFonts w:ascii="Times New Roman" w:eastAsia="Times New Roman" w:hAnsi="Times New Roman" w:cs="Times New Roman"/>
          <w:iCs/>
          <w:spacing w:val="4"/>
          <w:kern w:val="2"/>
          <w:sz w:val="24"/>
          <w:szCs w:val="24"/>
          <w:lang w:eastAsia="ru-RU"/>
        </w:rPr>
        <w:t xml:space="preserve">У вартість досліджень включено надання послуг з проведення лабораторних досліджень, податки передбачені законодавством та </w:t>
      </w:r>
      <w:r w:rsidRPr="004333CE">
        <w:rPr>
          <w:rFonts w:ascii="Times New Roman" w:eastAsia="Times New Roman" w:hAnsi="Times New Roman" w:cs="Times New Roman"/>
          <w:bCs/>
          <w:iCs/>
          <w:spacing w:val="4"/>
          <w:kern w:val="2"/>
          <w:sz w:val="24"/>
          <w:szCs w:val="24"/>
          <w:lang w:eastAsia="ru-RU"/>
        </w:rPr>
        <w:t>інші витрати (витратні матеріали, експлуатація необхідного обладнання, комунальні послуги, оплата праці, вартість доставки зразків тощо)</w:t>
      </w:r>
    </w:p>
    <w:p w:rsidR="0053613D" w:rsidRPr="004333CE" w:rsidRDefault="0053613D" w:rsidP="0053613D">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53613D" w:rsidRPr="004333CE" w:rsidTr="003F34CE">
        <w:trPr>
          <w:trHeight w:val="80"/>
        </w:trPr>
        <w:tc>
          <w:tcPr>
            <w:tcW w:w="5246" w:type="dxa"/>
          </w:tcPr>
          <w:p w:rsidR="0053613D" w:rsidRPr="004333CE" w:rsidRDefault="0053613D" w:rsidP="003F34CE">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53613D" w:rsidRPr="004333CE" w:rsidRDefault="0053613D" w:rsidP="003F34CE">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53613D" w:rsidRPr="004333CE" w:rsidTr="003F34CE">
        <w:tc>
          <w:tcPr>
            <w:tcW w:w="5246" w:type="dxa"/>
          </w:tcPr>
          <w:p w:rsidR="0053613D" w:rsidRPr="004333CE" w:rsidRDefault="0053613D" w:rsidP="003F34CE">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53613D" w:rsidRPr="004333CE" w:rsidRDefault="0053613D" w:rsidP="003F34CE">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A40C94" w:rsidRDefault="0053613D"/>
    <w:sectPr w:rsidR="00A40C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2F"/>
    <w:rsid w:val="0008052F"/>
    <w:rsid w:val="00306D02"/>
    <w:rsid w:val="0053613D"/>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613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36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613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36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9185</Words>
  <Characters>5236</Characters>
  <Application>Microsoft Office Word</Application>
  <DocSecurity>0</DocSecurity>
  <Lines>43</Lines>
  <Paragraphs>28</Paragraphs>
  <ScaleCrop>false</ScaleCrop>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2023-06-13T12:43:00Z</dcterms:created>
  <dcterms:modified xsi:type="dcterms:W3CDTF">2023-06-13T12:44:00Z</dcterms:modified>
</cp:coreProperties>
</file>