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E166C" w14:textId="77777777" w:rsidR="009F436F" w:rsidRPr="009F436F" w:rsidRDefault="009F436F" w:rsidP="009F436F">
      <w:pPr>
        <w:tabs>
          <w:tab w:val="left" w:pos="0"/>
          <w:tab w:val="left" w:pos="835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uk-UA"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val="uk-UA" w:eastAsia="ar-SA"/>
        </w:rPr>
        <w:tab/>
      </w:r>
      <w:r w:rsidRPr="009F436F">
        <w:rPr>
          <w:rFonts w:ascii="Times New Roman" w:eastAsia="Times New Roman" w:hAnsi="Times New Roman" w:cs="Times New Roman"/>
          <w:color w:val="000000"/>
          <w:lang w:val="uk-UA" w:eastAsia="ar-SA"/>
        </w:rPr>
        <w:t xml:space="preserve">Додаток 2 </w:t>
      </w:r>
    </w:p>
    <w:p w14:paraId="4EE3F132" w14:textId="68CF13BC" w:rsidR="009F436F" w:rsidRPr="009F436F" w:rsidRDefault="009F436F" w:rsidP="009F436F">
      <w:pPr>
        <w:tabs>
          <w:tab w:val="left" w:pos="0"/>
          <w:tab w:val="left" w:pos="835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uk-UA" w:eastAsia="ar-SA"/>
        </w:rPr>
      </w:pPr>
      <w:r w:rsidRPr="009F436F">
        <w:rPr>
          <w:rFonts w:ascii="Times New Roman" w:eastAsia="Times New Roman" w:hAnsi="Times New Roman" w:cs="Times New Roman"/>
          <w:color w:val="000000"/>
          <w:lang w:val="uk-UA" w:eastAsia="ar-SA"/>
        </w:rPr>
        <w:t>до тендерної документації</w:t>
      </w:r>
    </w:p>
    <w:p w14:paraId="19A8FC29" w14:textId="77777777" w:rsidR="009F436F" w:rsidRDefault="009F436F" w:rsidP="009120E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ar-SA"/>
        </w:rPr>
      </w:pPr>
    </w:p>
    <w:p w14:paraId="02DE6114" w14:textId="77777777" w:rsidR="009F436F" w:rsidRDefault="009F436F" w:rsidP="009120E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ar-SA"/>
        </w:rPr>
      </w:pPr>
    </w:p>
    <w:p w14:paraId="48C28E4F" w14:textId="512F0E8B" w:rsidR="009120ED" w:rsidRDefault="009F436F" w:rsidP="009120E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val="uk-UA" w:eastAsia="ar-SA"/>
        </w:rPr>
        <w:t>ТЕХНІЧНЕ ЗАВДАННЯ</w:t>
      </w:r>
    </w:p>
    <w:p w14:paraId="6E137666" w14:textId="77777777" w:rsidR="005738C0" w:rsidRDefault="005738C0" w:rsidP="009120E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ar-SA"/>
        </w:rPr>
      </w:pPr>
      <w:bookmarkStart w:id="0" w:name="_GoBack"/>
      <w:bookmarkEnd w:id="0"/>
    </w:p>
    <w:p w14:paraId="31D5D55D" w14:textId="77777777" w:rsidR="009F436F" w:rsidRPr="009F436F" w:rsidRDefault="009F436F" w:rsidP="009F436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ar-SA"/>
        </w:rPr>
      </w:pPr>
      <w:r w:rsidRPr="009F436F">
        <w:rPr>
          <w:rFonts w:ascii="Times New Roman" w:eastAsia="Times New Roman" w:hAnsi="Times New Roman" w:cs="Times New Roman"/>
          <w:color w:val="000000"/>
          <w:lang w:val="uk-UA" w:eastAsia="ar-SA"/>
        </w:rPr>
        <w:t>до предмету закупівлі:</w:t>
      </w:r>
      <w:r>
        <w:rPr>
          <w:rFonts w:ascii="Times New Roman" w:eastAsia="Times New Roman" w:hAnsi="Times New Roman" w:cs="Times New Roman"/>
          <w:b/>
          <w:color w:val="000000"/>
          <w:lang w:val="uk-UA" w:eastAsia="ar-SA"/>
        </w:rPr>
        <w:t xml:space="preserve"> </w:t>
      </w:r>
      <w:r w:rsidRPr="009F436F">
        <w:rPr>
          <w:rFonts w:ascii="Times New Roman" w:eastAsia="Times New Roman" w:hAnsi="Times New Roman" w:cs="Times New Roman"/>
          <w:b/>
          <w:color w:val="000000"/>
          <w:lang w:val="uk-UA" w:eastAsia="ar-SA"/>
        </w:rPr>
        <w:t>Лабораторні реактиви</w:t>
      </w:r>
    </w:p>
    <w:p w14:paraId="401EB78A" w14:textId="736711F8" w:rsidR="009F436F" w:rsidRDefault="009F436F" w:rsidP="009F436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ar-SA"/>
        </w:rPr>
      </w:pPr>
      <w:r w:rsidRPr="009F436F">
        <w:rPr>
          <w:rFonts w:ascii="Times New Roman" w:eastAsia="Times New Roman" w:hAnsi="Times New Roman" w:cs="Times New Roman"/>
          <w:b/>
          <w:color w:val="000000"/>
          <w:lang w:val="uk-UA" w:eastAsia="ar-SA"/>
        </w:rPr>
        <w:t>код ДК 021:2015 "Єдиний закупівельний словник" — 33690000-3 Лікарські засоби різні  (33696500-0 - Лабораторні реактиви)</w:t>
      </w:r>
    </w:p>
    <w:p w14:paraId="6B34FFB7" w14:textId="77777777" w:rsidR="009F436F" w:rsidRDefault="009F436F" w:rsidP="009F436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ar-SA"/>
        </w:rPr>
      </w:pPr>
    </w:p>
    <w:p w14:paraId="6B430950" w14:textId="14E2B44A" w:rsidR="009F436F" w:rsidRPr="009F436F" w:rsidRDefault="009F436F" w:rsidP="009F436F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uk-UA"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val="uk-UA" w:eastAsia="ar-SA"/>
        </w:rPr>
        <w:t xml:space="preserve">І. </w:t>
      </w:r>
      <w:r w:rsidRPr="009F436F">
        <w:rPr>
          <w:rFonts w:ascii="Times New Roman" w:eastAsia="Times New Roman" w:hAnsi="Times New Roman" w:cs="Times New Roman"/>
          <w:b/>
          <w:color w:val="000000"/>
          <w:lang w:val="uk-UA" w:eastAsia="ar-SA"/>
        </w:rPr>
        <w:t>Загальні вимоги:</w:t>
      </w:r>
    </w:p>
    <w:p w14:paraId="6ADA4051" w14:textId="77777777" w:rsidR="009120ED" w:rsidRPr="009120ED" w:rsidRDefault="009120ED" w:rsidP="009120ED">
      <w:pPr>
        <w:spacing w:after="0" w:line="240" w:lineRule="auto"/>
        <w:rPr>
          <w:rFonts w:ascii="Arial" w:eastAsia="Calibri" w:hAnsi="Arial" w:cs="Arial"/>
          <w:b/>
          <w:color w:val="000000"/>
          <w:lang w:val="uk-UA"/>
        </w:rPr>
      </w:pPr>
    </w:p>
    <w:p w14:paraId="51E2588A" w14:textId="77777777" w:rsidR="009120ED" w:rsidRPr="009120ED" w:rsidRDefault="009120ED" w:rsidP="009120E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120ED">
        <w:rPr>
          <w:rFonts w:ascii="Times New Roman" w:eastAsia="Times New Roman" w:hAnsi="Times New Roman" w:cs="Times New Roman"/>
          <w:lang w:val="uk-UA" w:eastAsia="ru-RU"/>
        </w:rPr>
        <w:t xml:space="preserve">Товар повинен бути </w:t>
      </w:r>
      <w:r w:rsidRPr="009120ED">
        <w:rPr>
          <w:rFonts w:ascii="Times New Roman" w:eastAsia="Times New Roman" w:hAnsi="Times New Roman" w:cs="Times New Roman"/>
          <w:bCs/>
          <w:lang w:val="uk-UA" w:eastAsia="uk-UA"/>
        </w:rPr>
        <w:t xml:space="preserve">дозволений для введення в обіг та/або експлуатацію (застосування) </w:t>
      </w:r>
      <w:r w:rsidRPr="009120ED">
        <w:rPr>
          <w:rFonts w:ascii="Times New Roman" w:eastAsia="Times New Roman" w:hAnsi="Times New Roman" w:cs="Times New Roman"/>
          <w:lang w:val="uk-UA" w:eastAsia="ru-RU"/>
        </w:rPr>
        <w:t xml:space="preserve">в Україні </w:t>
      </w:r>
      <w:r w:rsidRPr="009120ED">
        <w:rPr>
          <w:rFonts w:ascii="Times New Roman" w:eastAsia="Times New Roman" w:hAnsi="Times New Roman" w:cs="Times New Roman"/>
          <w:bCs/>
          <w:lang w:val="uk-UA" w:eastAsia="uk-UA"/>
        </w:rPr>
        <w:t>відповідно до законодавства. На підтвердження Учасник повинен надати копії декларацій про відповідність.</w:t>
      </w:r>
    </w:p>
    <w:p w14:paraId="736B7C5F" w14:textId="77777777" w:rsidR="009120ED" w:rsidRPr="009120ED" w:rsidRDefault="009120ED" w:rsidP="009120E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120ED">
        <w:rPr>
          <w:rFonts w:ascii="Times New Roman" w:eastAsia="Times New Roman" w:hAnsi="Times New Roman" w:cs="Times New Roman"/>
          <w:lang w:val="uk-UA" w:eastAsia="ru-RU"/>
        </w:rPr>
        <w:t>При поставці товару повинна додержуватись цілісність стандартної упаковки з необхідними реквізитами виробника.</w:t>
      </w:r>
    </w:p>
    <w:p w14:paraId="7D8F4B55" w14:textId="77777777" w:rsidR="009120ED" w:rsidRPr="009120ED" w:rsidRDefault="009120ED" w:rsidP="009120ED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9120ED">
        <w:rPr>
          <w:rFonts w:ascii="Times New Roman" w:eastAsia="SimSun" w:hAnsi="Times New Roman" w:cs="Times New Roman"/>
          <w:color w:val="000000"/>
          <w:lang w:val="uk-UA" w:eastAsia="uk-UA"/>
        </w:rPr>
        <w:t xml:space="preserve">Гарантійний лист, щодо строку придатності товару, який на момент поставки складатиме </w:t>
      </w:r>
      <w:r w:rsidRPr="009120ED">
        <w:rPr>
          <w:rFonts w:ascii="Times New Roman" w:eastAsia="Times New Roman" w:hAnsi="Times New Roman" w:cs="Times New Roman"/>
          <w:color w:val="000000"/>
          <w:lang w:val="uk-UA" w:eastAsia="uk-UA"/>
        </w:rPr>
        <w:t>залишковий термін зберігання не менше 70%  від загального терміну придатності, встановленого виробником</w:t>
      </w:r>
      <w:r w:rsidR="003B240C">
        <w:rPr>
          <w:rFonts w:ascii="Times New Roman" w:eastAsia="Times New Roman" w:hAnsi="Times New Roman" w:cs="Times New Roman"/>
          <w:color w:val="000000"/>
          <w:lang w:val="uk-UA" w:eastAsia="uk-UA"/>
        </w:rPr>
        <w:t>.</w:t>
      </w:r>
    </w:p>
    <w:p w14:paraId="7D4A01C6" w14:textId="77777777" w:rsidR="009120ED" w:rsidRPr="009120ED" w:rsidRDefault="009120ED" w:rsidP="009120ED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9120ED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Учасник повинен надати копію дозволу або чинної ліцензії на здійснення оптової або роздрібної торгівлі товаром або копію чинної ліцензії на виробництво товару якщо Учасник є вітчизняним виробником запропонованого Товару; </w:t>
      </w:r>
      <w:r w:rsidRPr="009120ED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якщо отримання такого дозволу або ліцензії на провадження такого виду діяльності передбачено законодавством, у разі не надання копії вищезазначеного документа надати лист-пояснення з посиланням на норми чинного законодавства про відсутність дозволу або ліцензії на провадження певного виду господарської діяльності</w:t>
      </w:r>
      <w:r w:rsidR="003B240C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.</w:t>
      </w:r>
    </w:p>
    <w:p w14:paraId="1B32F98D" w14:textId="77777777" w:rsidR="009120ED" w:rsidRPr="009120ED" w:rsidRDefault="009120ED" w:rsidP="009120E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120ED">
        <w:rPr>
          <w:rFonts w:ascii="Times New Roman" w:eastAsia="Times New Roman" w:hAnsi="Times New Roman" w:cs="Times New Roman"/>
          <w:lang w:val="uk-UA" w:eastAsia="ru-RU"/>
        </w:rPr>
        <w:t xml:space="preserve">З метою запобігання закупівлі фальсифікатів та підтвердження своєчасного постачання  товару у кількості, якості та зі строками придатності, учасник надає оригінал гарантійного листа виробника (представництва, філії виробника – якщо їх відповідні повноваження поширюються на територію України) або представника, дистриб’ютора, дилера, уповноваженого на це виробником, яким підтверджується можливість поставки товару, який є предметом закупівлі цих торгів та пропонується учасником, у кількості, зі строками придатності та в терміни, визначені тендерною документацією. Гарантійний лист повинен включати </w:t>
      </w:r>
      <w:r w:rsidR="00927880">
        <w:rPr>
          <w:rFonts w:ascii="Times New Roman" w:eastAsia="Times New Roman" w:hAnsi="Times New Roman" w:cs="Times New Roman"/>
          <w:lang w:val="uk-UA" w:eastAsia="ru-RU"/>
        </w:rPr>
        <w:t>номер</w:t>
      </w:r>
      <w:r w:rsidRPr="009120ED">
        <w:rPr>
          <w:rFonts w:ascii="Times New Roman" w:eastAsia="Times New Roman" w:hAnsi="Times New Roman" w:cs="Times New Roman"/>
          <w:lang w:val="uk-UA" w:eastAsia="ru-RU"/>
        </w:rPr>
        <w:t xml:space="preserve"> оголошення про проведення відкритих торгів, оприлюдненого на веб-порталі Уповноваженого органу, а також назву предмету закупівлі згідно оголошення та назву Замовника</w:t>
      </w:r>
      <w:r w:rsidR="003B240C">
        <w:rPr>
          <w:rFonts w:ascii="Times New Roman" w:eastAsia="Times New Roman" w:hAnsi="Times New Roman" w:cs="Times New Roman"/>
          <w:lang w:val="uk-UA" w:eastAsia="ru-RU"/>
        </w:rPr>
        <w:t>.</w:t>
      </w:r>
    </w:p>
    <w:p w14:paraId="0D9C4A00" w14:textId="77777777" w:rsidR="009120ED" w:rsidRPr="009120ED" w:rsidRDefault="009120ED" w:rsidP="009120E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120ED">
        <w:rPr>
          <w:rFonts w:ascii="Times New Roman" w:eastAsia="Times New Roman" w:hAnsi="Times New Roman" w:cs="Times New Roman"/>
          <w:lang w:val="uk-UA" w:eastAsia="ru-RU"/>
        </w:rPr>
        <w:t>Товар повинен мати інструкці</w:t>
      </w:r>
      <w:r w:rsidR="008048E4">
        <w:rPr>
          <w:rFonts w:ascii="Times New Roman" w:eastAsia="Times New Roman" w:hAnsi="Times New Roman" w:cs="Times New Roman"/>
          <w:lang w:val="uk-UA" w:eastAsia="ru-RU"/>
        </w:rPr>
        <w:t>ї</w:t>
      </w:r>
      <w:r w:rsidRPr="009120ED">
        <w:rPr>
          <w:rFonts w:ascii="Times New Roman" w:eastAsia="Times New Roman" w:hAnsi="Times New Roman" w:cs="Times New Roman"/>
          <w:lang w:val="uk-UA" w:eastAsia="ru-RU"/>
        </w:rPr>
        <w:t xml:space="preserve"> з використання препарату, викладен</w:t>
      </w:r>
      <w:r w:rsidR="008048E4">
        <w:rPr>
          <w:rFonts w:ascii="Times New Roman" w:eastAsia="Times New Roman" w:hAnsi="Times New Roman" w:cs="Times New Roman"/>
          <w:lang w:val="uk-UA" w:eastAsia="ru-RU"/>
        </w:rPr>
        <w:t>і</w:t>
      </w:r>
      <w:r w:rsidRPr="009120ED">
        <w:rPr>
          <w:rFonts w:ascii="Times New Roman" w:eastAsia="Times New Roman" w:hAnsi="Times New Roman" w:cs="Times New Roman"/>
          <w:lang w:val="uk-UA" w:eastAsia="ru-RU"/>
        </w:rPr>
        <w:t xml:space="preserve"> українською мовою та затверджен</w:t>
      </w:r>
      <w:r w:rsidR="009930BA">
        <w:rPr>
          <w:rFonts w:ascii="Times New Roman" w:eastAsia="Times New Roman" w:hAnsi="Times New Roman" w:cs="Times New Roman"/>
          <w:lang w:val="uk-UA" w:eastAsia="ru-RU"/>
        </w:rPr>
        <w:t xml:space="preserve">і належним чином </w:t>
      </w:r>
      <w:r w:rsidRPr="009120ED">
        <w:rPr>
          <w:rFonts w:ascii="Times New Roman" w:eastAsia="Times New Roman" w:hAnsi="Times New Roman" w:cs="Times New Roman"/>
          <w:lang w:val="uk-UA" w:eastAsia="ru-RU"/>
        </w:rPr>
        <w:t>сертифікати якості. Надати гарантійни</w:t>
      </w:r>
      <w:r w:rsidR="00C75059">
        <w:rPr>
          <w:rFonts w:ascii="Times New Roman" w:eastAsia="Times New Roman" w:hAnsi="Times New Roman" w:cs="Times New Roman"/>
          <w:lang w:val="uk-UA" w:eastAsia="ru-RU"/>
        </w:rPr>
        <w:t>й лист про наявність інструкцій та</w:t>
      </w:r>
      <w:r w:rsidRPr="009120ED">
        <w:rPr>
          <w:rFonts w:ascii="Times New Roman" w:eastAsia="Times New Roman" w:hAnsi="Times New Roman" w:cs="Times New Roman"/>
          <w:lang w:val="uk-UA" w:eastAsia="ru-RU"/>
        </w:rPr>
        <w:t xml:space="preserve"> сертифікатів якості, які будуть надані при поставці.</w:t>
      </w:r>
    </w:p>
    <w:p w14:paraId="3FCFA92F" w14:textId="77777777" w:rsidR="009120ED" w:rsidRPr="009120ED" w:rsidRDefault="009120ED" w:rsidP="009120E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120ED">
        <w:rPr>
          <w:rFonts w:ascii="Times New Roman" w:eastAsia="Times New Roman" w:hAnsi="Times New Roman" w:cs="Times New Roman"/>
          <w:lang w:val="uk-UA" w:eastAsia="ru-RU"/>
        </w:rPr>
        <w:t xml:space="preserve">Строк поставки товару протягом </w:t>
      </w:r>
      <w:r w:rsidR="00E93645">
        <w:rPr>
          <w:rFonts w:ascii="Times New Roman" w:eastAsia="Times New Roman" w:hAnsi="Times New Roman" w:cs="Times New Roman"/>
          <w:lang w:val="uk-UA" w:eastAsia="ru-RU"/>
        </w:rPr>
        <w:t>5</w:t>
      </w:r>
      <w:r w:rsidRPr="009120ED">
        <w:rPr>
          <w:rFonts w:ascii="Times New Roman" w:eastAsia="Times New Roman" w:hAnsi="Times New Roman" w:cs="Times New Roman"/>
          <w:lang w:val="uk-UA" w:eastAsia="ru-RU"/>
        </w:rPr>
        <w:t xml:space="preserve"> діб після отримання заявки від Замовника. Надати гарантійний лист.</w:t>
      </w:r>
    </w:p>
    <w:p w14:paraId="1C9A38FB" w14:textId="77777777" w:rsidR="009120ED" w:rsidRPr="009120ED" w:rsidRDefault="009120ED" w:rsidP="009120E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120ED">
        <w:rPr>
          <w:rFonts w:ascii="Times New Roman" w:eastAsia="Times New Roman" w:hAnsi="Times New Roman" w:cs="Times New Roman"/>
          <w:lang w:val="uk-UA" w:eastAsia="ru-RU"/>
        </w:rPr>
        <w:t xml:space="preserve">У складі своєї пропозиції учасник повинен надати довідку на фірмовому бланку у довільній формі про те, що запропонований учасником товар буде поставлено із врахуванням екологічних вимог, що викладені в законі України від 25 червня 1991р №1264-ХII “Про охорону навколишнього природного середовища”, а також розроблених відповідно до нього </w:t>
      </w:r>
      <w:hyperlink r:id="rId7" w:tgtFrame="_blank" w:history="1">
        <w:r w:rsidRPr="009120ED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Земельн</w:t>
        </w:r>
      </w:hyperlink>
      <w:r w:rsidRPr="009120ED">
        <w:rPr>
          <w:rFonts w:ascii="Times New Roman" w:eastAsia="Times New Roman" w:hAnsi="Times New Roman" w:cs="Times New Roman"/>
          <w:lang w:val="uk-UA" w:eastAsia="ru-RU"/>
        </w:rPr>
        <w:t xml:space="preserve">ого, </w:t>
      </w:r>
      <w:hyperlink r:id="rId8" w:tgtFrame="_blank" w:history="1">
        <w:r w:rsidRPr="009120ED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Водн</w:t>
        </w:r>
      </w:hyperlink>
      <w:r w:rsidRPr="009120ED">
        <w:rPr>
          <w:rFonts w:ascii="Times New Roman" w:eastAsia="Times New Roman" w:hAnsi="Times New Roman" w:cs="Times New Roman"/>
          <w:lang w:val="uk-UA" w:eastAsia="ru-RU"/>
        </w:rPr>
        <w:t xml:space="preserve">ого, </w:t>
      </w:r>
      <w:hyperlink r:id="rId9" w:tgtFrame="_blank" w:history="1">
        <w:r w:rsidRPr="009120ED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Лісового</w:t>
        </w:r>
        <w:r w:rsidRPr="009120E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 </w:t>
        </w:r>
        <w:r w:rsidRPr="009120ED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кодекс</w:t>
        </w:r>
      </w:hyperlink>
      <w:r w:rsidRPr="009120ED">
        <w:rPr>
          <w:rFonts w:ascii="Times New Roman" w:eastAsia="Times New Roman" w:hAnsi="Times New Roman" w:cs="Times New Roman"/>
          <w:lang w:val="uk-UA" w:eastAsia="ru-RU"/>
        </w:rPr>
        <w:t>ів, Законів “</w:t>
      </w:r>
      <w:hyperlink r:id="rId10" w:tgtFrame="_blank" w:history="1">
        <w:r w:rsidRPr="009120ED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Про охорону</w:t>
        </w:r>
        <w:r w:rsidRPr="009120E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 </w:t>
        </w:r>
        <w:r w:rsidRPr="009120ED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атмосферного</w:t>
        </w:r>
        <w:r w:rsidRPr="009120E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 </w:t>
        </w:r>
        <w:r w:rsidRPr="009120ED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повітря</w:t>
        </w:r>
      </w:hyperlink>
      <w:r w:rsidRPr="009120ED">
        <w:rPr>
          <w:rFonts w:ascii="Times New Roman" w:eastAsia="Times New Roman" w:hAnsi="Times New Roman" w:cs="Times New Roman"/>
          <w:lang w:val="uk-UA" w:eastAsia="ru-RU"/>
        </w:rPr>
        <w:t>”, “Про відходи”, “Про поводження з радіоактивними відходами” та передбачати усі заходи спрямовані на захист довкілля.</w:t>
      </w:r>
    </w:p>
    <w:p w14:paraId="6388C4E8" w14:textId="09713B3C" w:rsidR="006B6981" w:rsidRDefault="009120ED" w:rsidP="006B69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9120ED">
        <w:rPr>
          <w:rFonts w:ascii="Times New Roman" w:eastAsia="Times New Roman" w:hAnsi="Times New Roman" w:cs="Times New Roman"/>
          <w:lang w:val="uk-UA" w:eastAsia="ar-SA"/>
        </w:rPr>
        <w:t xml:space="preserve">Еквівалентом лабораторного реактиву в розумінні даної тендерної документації є реактив якість, діюча речовина препарату (міжнародна назва), дозування, форма випуску, концентрація та інші стандартні характеристики товару абсолютно співпадають з характеристиками препарату, що є предметом закупівлі. Стандартні характеристики еквіваленту товару на який відбувається заміна повинні відповідати вимогам діючих стандартів щодо даних товарів. У випадку надання еквіваленту Учасник повинен надати порівняльну таблицю та копії інструкцій з використання з позначенням відповідних технічних характеристик. </w:t>
      </w:r>
    </w:p>
    <w:p w14:paraId="5EA0053E" w14:textId="77777777" w:rsidR="009F436F" w:rsidRDefault="009F436F" w:rsidP="009F436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</w:p>
    <w:p w14:paraId="3BF61668" w14:textId="77777777" w:rsidR="009F436F" w:rsidRDefault="009F436F" w:rsidP="009F436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</w:p>
    <w:p w14:paraId="6AC6696C" w14:textId="77777777" w:rsidR="009F436F" w:rsidRDefault="009F436F" w:rsidP="009F436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</w:p>
    <w:p w14:paraId="58C745AD" w14:textId="77777777" w:rsidR="009F436F" w:rsidRDefault="009F436F" w:rsidP="009F436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</w:p>
    <w:p w14:paraId="6FC8D7FC" w14:textId="77777777" w:rsidR="009F436F" w:rsidRDefault="009F436F" w:rsidP="009F436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</w:p>
    <w:p w14:paraId="0712CC19" w14:textId="77777777" w:rsidR="009F436F" w:rsidRDefault="009F436F" w:rsidP="009F436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</w:p>
    <w:p w14:paraId="582B40F1" w14:textId="008CCF53" w:rsidR="009F436F" w:rsidRDefault="009F436F" w:rsidP="009F43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uk-UA" w:eastAsia="ar-SA"/>
        </w:rPr>
      </w:pPr>
    </w:p>
    <w:p w14:paraId="10F6DC50" w14:textId="772C7DC5" w:rsidR="006B6981" w:rsidRPr="009F436F" w:rsidRDefault="009F436F" w:rsidP="009F43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uk-UA" w:eastAsia="ar-SA"/>
        </w:rPr>
      </w:pPr>
      <w:r w:rsidRPr="009F436F">
        <w:rPr>
          <w:rFonts w:ascii="Times New Roman" w:eastAsia="Times New Roman" w:hAnsi="Times New Roman" w:cs="Times New Roman"/>
          <w:b/>
          <w:lang w:val="uk-UA" w:eastAsia="ar-SA"/>
        </w:rPr>
        <w:t>ІІ.</w:t>
      </w:r>
      <w:r>
        <w:rPr>
          <w:rFonts w:ascii="Times New Roman" w:eastAsia="Times New Roman" w:hAnsi="Times New Roman" w:cs="Times New Roman"/>
          <w:b/>
          <w:lang w:val="uk-UA" w:eastAsia="ar-SA"/>
        </w:rPr>
        <w:t xml:space="preserve"> </w:t>
      </w:r>
      <w:proofErr w:type="spellStart"/>
      <w:r w:rsidRPr="009F436F">
        <w:rPr>
          <w:rFonts w:ascii="Times New Roman" w:eastAsia="Times New Roman" w:hAnsi="Times New Roman" w:cs="Times New Roman"/>
          <w:b/>
          <w:lang w:val="uk-UA" w:eastAsia="ar-SA"/>
        </w:rPr>
        <w:t>Медико-технічні</w:t>
      </w:r>
      <w:proofErr w:type="spellEnd"/>
      <w:r w:rsidRPr="009F436F">
        <w:rPr>
          <w:rFonts w:ascii="Times New Roman" w:eastAsia="Times New Roman" w:hAnsi="Times New Roman" w:cs="Times New Roman"/>
          <w:b/>
          <w:lang w:val="uk-UA" w:eastAsia="ar-SA"/>
        </w:rPr>
        <w:t xml:space="preserve"> вимоги:</w:t>
      </w:r>
    </w:p>
    <w:p w14:paraId="696EAF58" w14:textId="77777777" w:rsidR="009120ED" w:rsidRPr="009120ED" w:rsidRDefault="009120ED" w:rsidP="009120E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418"/>
        <w:gridCol w:w="709"/>
        <w:gridCol w:w="708"/>
        <w:gridCol w:w="4820"/>
      </w:tblGrid>
      <w:tr w:rsidR="006B6981" w:rsidRPr="002E6319" w14:paraId="5D4E7F97" w14:textId="77777777" w:rsidTr="001C0486">
        <w:tc>
          <w:tcPr>
            <w:tcW w:w="562" w:type="dxa"/>
            <w:shd w:val="clear" w:color="auto" w:fill="auto"/>
          </w:tcPr>
          <w:p w14:paraId="5649AB58" w14:textId="77777777" w:rsidR="009120ED" w:rsidRPr="002E6319" w:rsidRDefault="006B6981" w:rsidP="004A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2E63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№</w:t>
            </w:r>
          </w:p>
          <w:p w14:paraId="633F29C8" w14:textId="77777777" w:rsidR="006B6981" w:rsidRPr="002E6319" w:rsidRDefault="006B6981" w:rsidP="004A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2E63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14:paraId="0932BD32" w14:textId="77777777" w:rsidR="009120ED" w:rsidRPr="002E6319" w:rsidRDefault="006B6981" w:rsidP="004A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2E63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Назва предмету закупівлі</w:t>
            </w:r>
          </w:p>
        </w:tc>
        <w:tc>
          <w:tcPr>
            <w:tcW w:w="1418" w:type="dxa"/>
            <w:shd w:val="clear" w:color="auto" w:fill="auto"/>
          </w:tcPr>
          <w:p w14:paraId="7A90CAFA" w14:textId="77777777" w:rsidR="009120ED" w:rsidRPr="002E6319" w:rsidRDefault="009120ED" w:rsidP="004A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2E63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Класифікатор медичних виробів</w:t>
            </w:r>
          </w:p>
          <w:p w14:paraId="1FC7D248" w14:textId="4F59A504" w:rsidR="009120ED" w:rsidRPr="002E6319" w:rsidRDefault="009120ED" w:rsidP="004A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uk-UA"/>
              </w:rPr>
            </w:pPr>
            <w:r w:rsidRPr="002E63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НК 024:20</w:t>
            </w:r>
            <w:r w:rsidR="00532D4C" w:rsidRPr="002E63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uk-UA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4FDAD891" w14:textId="77777777" w:rsidR="009120ED" w:rsidRPr="002E6319" w:rsidRDefault="006B6981" w:rsidP="004A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2E63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708" w:type="dxa"/>
            <w:shd w:val="clear" w:color="auto" w:fill="auto"/>
          </w:tcPr>
          <w:p w14:paraId="19B3064C" w14:textId="77777777" w:rsidR="009120ED" w:rsidRPr="002E6319" w:rsidRDefault="006B6981" w:rsidP="004A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2E63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4820" w:type="dxa"/>
            <w:shd w:val="clear" w:color="auto" w:fill="auto"/>
          </w:tcPr>
          <w:p w14:paraId="0405605D" w14:textId="77777777" w:rsidR="009120ED" w:rsidRPr="002E6319" w:rsidRDefault="006B6981" w:rsidP="004A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2E63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Технічні вимоги</w:t>
            </w:r>
          </w:p>
        </w:tc>
      </w:tr>
      <w:tr w:rsidR="00CF0C0B" w:rsidRPr="00CF0C0B" w14:paraId="5FE987DE" w14:textId="77777777" w:rsidTr="001C0486">
        <w:tc>
          <w:tcPr>
            <w:tcW w:w="562" w:type="dxa"/>
            <w:shd w:val="clear" w:color="auto" w:fill="auto"/>
          </w:tcPr>
          <w:p w14:paraId="1A989DA8" w14:textId="432068D0" w:rsidR="00CF0C0B" w:rsidRPr="00CA3436" w:rsidRDefault="00CF0C0B" w:rsidP="00CF0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</w:tcPr>
          <w:p w14:paraId="6BE506BA" w14:textId="3953E951" w:rsidR="00CF0C0B" w:rsidRPr="002E6319" w:rsidRDefault="00CF0C0B" w:rsidP="00CF0C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Набір реагентів для виявлення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Ureaplasma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urealyticum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Ureaplasma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parvum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методом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полімеразної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ланцюгової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реакції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реальному часі</w:t>
            </w:r>
          </w:p>
        </w:tc>
        <w:tc>
          <w:tcPr>
            <w:tcW w:w="1418" w:type="dxa"/>
          </w:tcPr>
          <w:p w14:paraId="4C3FFF76" w14:textId="2213676C" w:rsidR="00CF0C0B" w:rsidRPr="00CF0C0B" w:rsidRDefault="00CF0C0B" w:rsidP="00CF0C0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50409 Множинні мікроорганізми, що передаються статево, нуклеїнова кислота IVD (діагностика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vitro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), набір, аналіз нуклеїнових кислот</w:t>
            </w:r>
          </w:p>
        </w:tc>
        <w:tc>
          <w:tcPr>
            <w:tcW w:w="709" w:type="dxa"/>
          </w:tcPr>
          <w:p w14:paraId="4E382F4D" w14:textId="19D1E64C" w:rsidR="00CF0C0B" w:rsidRPr="002E6319" w:rsidRDefault="00CF0C0B" w:rsidP="00CF0C0B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E631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708" w:type="dxa"/>
            <w:shd w:val="clear" w:color="auto" w:fill="auto"/>
          </w:tcPr>
          <w:p w14:paraId="5C7B8A37" w14:textId="247CB9EB" w:rsidR="00CF0C0B" w:rsidRPr="00CF0C0B" w:rsidRDefault="00CF0C0B" w:rsidP="00CF0C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14:paraId="5E7D1426" w14:textId="77777777" w:rsidR="00CF0C0B" w:rsidRPr="00CF0C0B" w:rsidRDefault="00CF0C0B" w:rsidP="00CF0C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Принцип аналізу базується на проведені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дуплексної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ПЛР у реальному часі з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гібридизаційно-флуоресцентною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детекцією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  <w:p w14:paraId="7F7ADACE" w14:textId="77777777" w:rsidR="00CF0C0B" w:rsidRPr="00CF0C0B" w:rsidRDefault="00CF0C0B" w:rsidP="00CF0C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Реєстрація реакції –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флуориметричний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метод по двом каналам: FAM/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Green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детекції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Ureaplasma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urealyticum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 Cy5/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Red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детекції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Ureaplasma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pavrum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контроль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біометеріалу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каналу HEX/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Yellow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27290B58" w14:textId="77777777" w:rsidR="00CF0C0B" w:rsidRPr="00CF0C0B" w:rsidRDefault="00CF0C0B" w:rsidP="00CF0C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Формат: на 96 реакцій.</w:t>
            </w:r>
          </w:p>
          <w:p w14:paraId="6CA50835" w14:textId="77777777" w:rsidR="00CF0C0B" w:rsidRPr="00CF0C0B" w:rsidRDefault="00CF0C0B" w:rsidP="00CF0C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Загальний час проведення реакції приблизно 120 хвилин. </w:t>
            </w:r>
          </w:p>
          <w:p w14:paraId="1238BFE9" w14:textId="77777777" w:rsidR="00CF0C0B" w:rsidRPr="00CF0C0B" w:rsidRDefault="00CF0C0B" w:rsidP="00CF0C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Аналітична чутливість 1*10</w:t>
            </w:r>
            <w:r w:rsidRPr="00F017F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копій/мл</w:t>
            </w:r>
          </w:p>
          <w:p w14:paraId="2626FB6D" w14:textId="77777777" w:rsidR="00CF0C0B" w:rsidRPr="00CF0C0B" w:rsidRDefault="00CF0C0B" w:rsidP="00CF0C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Діагностична чутливість не менше 98%.</w:t>
            </w:r>
          </w:p>
          <w:p w14:paraId="40885DC3" w14:textId="77777777" w:rsidR="00CF0C0B" w:rsidRPr="00CF0C0B" w:rsidRDefault="00CF0C0B" w:rsidP="00CF0C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Діагностична специфічність не менше 98%.</w:t>
            </w:r>
          </w:p>
          <w:p w14:paraId="4A81E186" w14:textId="77777777" w:rsidR="00CF0C0B" w:rsidRPr="00CF0C0B" w:rsidRDefault="00CF0C0B" w:rsidP="00CF0C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Відсутні перехресні реакції при тестуванні зразків ДНК людини і панелі зразків ДНК наступних мікроорганізмів: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Chlamydia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trachomatis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Mycoplasma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genitalium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Chlamydia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pneumoniae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Gardnerella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vaginalis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Lactobacillus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crispatus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Enterococcus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faecium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Escherichia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coli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Staphylococcus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aureus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Streptococcus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pyogenes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Candida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albicans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Mycoplasma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hominis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Neisseria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gonorrhoeae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Neisseria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flava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Neisseria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subflava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Neisseria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sicca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Neisseria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mucosa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Treponema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pallidum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Trichomonas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vaginalis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Toxoplasma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gondii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HSV 1 и 2 типа, CMV, HPV (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типы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16, 18, 31, 33, 35, 39, 45, 51, 52, 56, 58, 59). </w:t>
            </w:r>
          </w:p>
          <w:p w14:paraId="73B5A9CB" w14:textId="77777777" w:rsidR="00CF0C0B" w:rsidRPr="00CF0C0B" w:rsidRDefault="00CF0C0B" w:rsidP="00CF0C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Зразок для аналізу: секрет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передміхурової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залози, осад сечі, еякулят, </w:t>
            </w: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урогенітальний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зішкріб.</w:t>
            </w:r>
          </w:p>
          <w:p w14:paraId="1B3FC1F7" w14:textId="77777777" w:rsidR="00CF0C0B" w:rsidRPr="00CF0C0B" w:rsidRDefault="00CF0C0B" w:rsidP="00CF0C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Об’єм досліджуваного зразка: 10 мкл.</w:t>
            </w:r>
          </w:p>
          <w:p w14:paraId="7800E5E3" w14:textId="77777777" w:rsidR="00CF0C0B" w:rsidRPr="00CF0C0B" w:rsidRDefault="00CF0C0B" w:rsidP="00CF0C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Буфер, готовий до використання (1.5 мл), прозора рідина від безбарвного до рожевого кольору.</w:t>
            </w:r>
          </w:p>
          <w:p w14:paraId="55802867" w14:textId="77777777" w:rsidR="00CF0C0B" w:rsidRPr="00CF0C0B" w:rsidRDefault="00CF0C0B" w:rsidP="00CF0C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Полімераза</w:t>
            </w:r>
            <w:proofErr w:type="spellEnd"/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готова до використання  (0.13 мл), прозора безбарвна рідина.</w:t>
            </w:r>
          </w:p>
          <w:p w14:paraId="309AE9D6" w14:textId="77777777" w:rsidR="00CF0C0B" w:rsidRPr="00CF0C0B" w:rsidRDefault="00CF0C0B" w:rsidP="00CF0C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ПКЗ – позитивний контрольний зразок, готовий до використання (0.1 мл) прозора безбарвна рідина.</w:t>
            </w:r>
          </w:p>
          <w:p w14:paraId="0A7259BE" w14:textId="4209783B" w:rsidR="00CF0C0B" w:rsidRPr="00865EC0" w:rsidRDefault="00CF0C0B" w:rsidP="00CF0C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0C0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НКЗ– негативний контрольний зразок, готовий до використання (0.5 мл) прозора безбарвна рідина.</w:t>
            </w:r>
          </w:p>
        </w:tc>
      </w:tr>
      <w:tr w:rsidR="005244D7" w:rsidRPr="005244D7" w14:paraId="7342B75E" w14:textId="77777777" w:rsidTr="001C0486">
        <w:tc>
          <w:tcPr>
            <w:tcW w:w="562" w:type="dxa"/>
            <w:shd w:val="clear" w:color="auto" w:fill="auto"/>
          </w:tcPr>
          <w:p w14:paraId="1D0E322E" w14:textId="4D61BA25" w:rsidR="005244D7" w:rsidRPr="00CA3436" w:rsidRDefault="005244D7" w:rsidP="005244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</w:tcPr>
          <w:p w14:paraId="44A7E315" w14:textId="35F357B1" w:rsidR="005244D7" w:rsidRPr="002E6319" w:rsidRDefault="005244D7" w:rsidP="005244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Набір реагентів для виявлення ДНК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Mycoplasma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genitalium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методом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полімеразної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ланцюгової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реакції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реальному часі</w:t>
            </w:r>
          </w:p>
        </w:tc>
        <w:tc>
          <w:tcPr>
            <w:tcW w:w="1418" w:type="dxa"/>
          </w:tcPr>
          <w:p w14:paraId="4754594A" w14:textId="77777777" w:rsidR="005244D7" w:rsidRPr="005244D7" w:rsidRDefault="005244D7" w:rsidP="005244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47324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Mycoplasma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genitalium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14:paraId="09F2431A" w14:textId="77777777" w:rsidR="005244D7" w:rsidRPr="005244D7" w:rsidRDefault="005244D7" w:rsidP="005244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нуклеїнова кислота IVD</w:t>
            </w:r>
          </w:p>
          <w:p w14:paraId="2E050068" w14:textId="77777777" w:rsidR="005244D7" w:rsidRPr="005244D7" w:rsidRDefault="005244D7" w:rsidP="005244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(діагностика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vitro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),</w:t>
            </w:r>
          </w:p>
          <w:p w14:paraId="10ED65F5" w14:textId="77777777" w:rsidR="005244D7" w:rsidRPr="005244D7" w:rsidRDefault="005244D7" w:rsidP="005244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набір, аналіз нуклеїнових</w:t>
            </w:r>
          </w:p>
          <w:p w14:paraId="77BF6455" w14:textId="7E6D291D" w:rsidR="005244D7" w:rsidRPr="005244D7" w:rsidRDefault="005244D7" w:rsidP="005244D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кислот</w:t>
            </w:r>
          </w:p>
        </w:tc>
        <w:tc>
          <w:tcPr>
            <w:tcW w:w="709" w:type="dxa"/>
          </w:tcPr>
          <w:p w14:paraId="04790A91" w14:textId="5B2C18B6" w:rsidR="005244D7" w:rsidRPr="002E6319" w:rsidRDefault="005244D7" w:rsidP="005244D7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E631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708" w:type="dxa"/>
            <w:shd w:val="clear" w:color="auto" w:fill="auto"/>
          </w:tcPr>
          <w:p w14:paraId="32970F8E" w14:textId="35CAE397" w:rsidR="005244D7" w:rsidRPr="005244D7" w:rsidRDefault="005244D7" w:rsidP="005244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14:paraId="2037D8FB" w14:textId="77777777" w:rsidR="005244D7" w:rsidRPr="005244D7" w:rsidRDefault="005244D7" w:rsidP="005244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Принцип аналізу базується на проведені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моноплексної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ПЛР у реальному часі з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гібридизаційно-флуоресцентною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детекцією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  <w:p w14:paraId="198BCB5C" w14:textId="77777777" w:rsidR="005244D7" w:rsidRPr="005244D7" w:rsidRDefault="005244D7" w:rsidP="005244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Реєстрація реакції –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флуориметричний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метод по двом каналам ROX/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Orange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детекції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M.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genitalium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контроль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біометеріалу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каналу HEX/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Yellow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2305486A" w14:textId="77777777" w:rsidR="005244D7" w:rsidRPr="005244D7" w:rsidRDefault="005244D7" w:rsidP="005244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Формат: на 96 реакцій.</w:t>
            </w:r>
          </w:p>
          <w:p w14:paraId="1CB7C2A2" w14:textId="77777777" w:rsidR="005244D7" w:rsidRPr="005244D7" w:rsidRDefault="005244D7" w:rsidP="005244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Загальний час проведення реакції приблизно 80 хвилин. </w:t>
            </w:r>
          </w:p>
          <w:p w14:paraId="50B27633" w14:textId="77777777" w:rsidR="005244D7" w:rsidRPr="005244D7" w:rsidRDefault="005244D7" w:rsidP="005244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Аналітична чутливість 500 копій/мл</w:t>
            </w:r>
          </w:p>
          <w:p w14:paraId="696D68F4" w14:textId="77777777" w:rsidR="005244D7" w:rsidRPr="005244D7" w:rsidRDefault="005244D7" w:rsidP="005244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Діагностична чутливість не менше 98%.</w:t>
            </w:r>
          </w:p>
          <w:p w14:paraId="25603E18" w14:textId="77777777" w:rsidR="005244D7" w:rsidRPr="005244D7" w:rsidRDefault="005244D7" w:rsidP="005244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Діагностична специфічність не менше 98%.</w:t>
            </w:r>
          </w:p>
          <w:p w14:paraId="783AF64F" w14:textId="77777777" w:rsidR="005244D7" w:rsidRPr="005244D7" w:rsidRDefault="005244D7" w:rsidP="005244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Відсутні перехресні реакції при тестуванні зразків ДНК людини і панелі зразків ДНК наступних мікроорганізмів: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Chlamydia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trachomatis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Ureaplasma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parvum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Chlamydia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pneumoniae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Gardnerella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vaginalis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Lactobacillus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crispatus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Enterococcus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faecium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Escherichia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coli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Staphylococcus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aureus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Streptococcus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pyogenes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Candida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albicans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Mycoplasma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hominis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Ureaplasma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urealyticum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Neisseria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gonorrhoeae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Neisseria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flava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Neisseria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subflava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Neisseria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sicca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Neisseria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mucosa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Treponema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pallidum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Trichomonas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vaginalis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Toxoplasma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gondii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HSV 1 та 2 типу, CMV, HPV (типи 16, 18, 31, 33, 35, 39, 45, 51, 52, 56, 58, 59). </w:t>
            </w:r>
          </w:p>
          <w:p w14:paraId="09081B81" w14:textId="77777777" w:rsidR="005244D7" w:rsidRPr="005244D7" w:rsidRDefault="005244D7" w:rsidP="005244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Зразок для аналізу: зішкріб епітелію з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урогенітального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тракту, секрет </w:t>
            </w: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передміхурової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залози, осад сечі, сперма.</w:t>
            </w:r>
          </w:p>
          <w:p w14:paraId="1713DF6F" w14:textId="77777777" w:rsidR="005244D7" w:rsidRPr="005244D7" w:rsidRDefault="005244D7" w:rsidP="005244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Об’єм досліджуваного зразка: 10 мкл.</w:t>
            </w:r>
          </w:p>
          <w:p w14:paraId="706F684F" w14:textId="77777777" w:rsidR="005244D7" w:rsidRPr="005244D7" w:rsidRDefault="005244D7" w:rsidP="005244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Буфер, готовий до використання (1.7 мл), прозора рідина від безбарвного до рожевого кольору.</w:t>
            </w:r>
          </w:p>
          <w:p w14:paraId="7D01875F" w14:textId="77777777" w:rsidR="005244D7" w:rsidRPr="005244D7" w:rsidRDefault="005244D7" w:rsidP="005244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Полімераза</w:t>
            </w:r>
            <w:proofErr w:type="spellEnd"/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готова до використання  (0.15 мл), прозора безбарвна рідина.</w:t>
            </w:r>
          </w:p>
          <w:p w14:paraId="3EB33E46" w14:textId="77777777" w:rsidR="005244D7" w:rsidRPr="005244D7" w:rsidRDefault="005244D7" w:rsidP="005244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ПКЗ – позитивний контрольний зразок, готовий до використання (0.5 мл) прозора безбарвна рідина.</w:t>
            </w:r>
          </w:p>
          <w:p w14:paraId="683C7ADF" w14:textId="7D68D985" w:rsidR="005244D7" w:rsidRPr="00865EC0" w:rsidRDefault="005244D7" w:rsidP="005244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4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НКЗ– негативний контрольний зразок, готовий до використання (0.5 мл) прозора безбарвна рідина.</w:t>
            </w:r>
          </w:p>
        </w:tc>
      </w:tr>
      <w:tr w:rsidR="000E2BAD" w:rsidRPr="000E2BAD" w14:paraId="7286FBEA" w14:textId="77777777" w:rsidTr="001C0486">
        <w:tc>
          <w:tcPr>
            <w:tcW w:w="562" w:type="dxa"/>
            <w:shd w:val="clear" w:color="auto" w:fill="auto"/>
          </w:tcPr>
          <w:p w14:paraId="618182BD" w14:textId="392EFB54" w:rsidR="000E2BAD" w:rsidRPr="00CA3436" w:rsidRDefault="000E2BAD" w:rsidP="000E2B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2268" w:type="dxa"/>
          </w:tcPr>
          <w:p w14:paraId="40817496" w14:textId="07F68DD8" w:rsidR="000E2BAD" w:rsidRPr="002E6319" w:rsidRDefault="000E2BAD" w:rsidP="000E2B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Набір реагентів для виявлення ДНК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Chlamydia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trachomatis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методом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полімеразної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ланцюгової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реакції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реальному часі</w:t>
            </w:r>
          </w:p>
        </w:tc>
        <w:tc>
          <w:tcPr>
            <w:tcW w:w="1418" w:type="dxa"/>
          </w:tcPr>
          <w:p w14:paraId="26C279A5" w14:textId="77777777" w:rsidR="000E2BAD" w:rsidRPr="000E2BAD" w:rsidRDefault="000E2BAD" w:rsidP="000E2BA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47320</w:t>
            </w:r>
          </w:p>
          <w:p w14:paraId="416275DC" w14:textId="0DC17B72" w:rsidR="000E2BAD" w:rsidRPr="000E2BAD" w:rsidRDefault="000E2BAD" w:rsidP="000E2BA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Chlamydia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trachomatis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нуклеїнова кислота IVD (діагностика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vitro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), набір, аналіз нуклеїнових кислот</w:t>
            </w:r>
          </w:p>
        </w:tc>
        <w:tc>
          <w:tcPr>
            <w:tcW w:w="709" w:type="dxa"/>
          </w:tcPr>
          <w:p w14:paraId="79504AD1" w14:textId="22E939A6" w:rsidR="000E2BAD" w:rsidRPr="002E6319" w:rsidRDefault="000E2BAD" w:rsidP="000E2BAD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E631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708" w:type="dxa"/>
            <w:shd w:val="clear" w:color="auto" w:fill="auto"/>
          </w:tcPr>
          <w:p w14:paraId="18532239" w14:textId="68554FAC" w:rsidR="000E2BAD" w:rsidRPr="000E2BAD" w:rsidRDefault="000E2BAD" w:rsidP="000E2B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14:paraId="7963C4E0" w14:textId="77777777" w:rsidR="000E2BAD" w:rsidRPr="000E2BAD" w:rsidRDefault="000E2BAD" w:rsidP="000E2B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Принцип аналізу базується на проведені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моноплексної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ПЛР у реальному часі з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гібридизаційно-флуоресцентноюдетекцією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  <w:p w14:paraId="0384C86E" w14:textId="77777777" w:rsidR="000E2BAD" w:rsidRPr="000E2BAD" w:rsidRDefault="000E2BAD" w:rsidP="000E2B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Реєстрація реакції –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флуориметричний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метод по двом каналам: FAM/ та контроль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біометеріалу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каналу HEX/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Yellow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1809CB9A" w14:textId="77777777" w:rsidR="000E2BAD" w:rsidRPr="000E2BAD" w:rsidRDefault="000E2BAD" w:rsidP="000E2B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Формат: на 96 реакцій.</w:t>
            </w:r>
          </w:p>
          <w:p w14:paraId="4AD489CB" w14:textId="77777777" w:rsidR="000E2BAD" w:rsidRPr="000E2BAD" w:rsidRDefault="000E2BAD" w:rsidP="000E2B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час проведення реакції приблизно 120 хвилин. Аналітична чутливість 1*10</w:t>
            </w:r>
            <w:r w:rsidRPr="00F017F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копій/мл. Діагностична чутливість не менше 98%. Діагностична специфічність не менше 98%.</w:t>
            </w:r>
          </w:p>
          <w:p w14:paraId="56B70916" w14:textId="77777777" w:rsidR="000E2BAD" w:rsidRPr="000E2BAD" w:rsidRDefault="000E2BAD" w:rsidP="000E2B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Відсутні перехресні реакції при тестуванні зразків ДНК людини і панелі зразків ДНК наступних мікроорганізмів: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Chlamydiapneumoniae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Gardnerellavaginalis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Lactobacilluscrispatus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Enterococcusfaecium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Escherichiacoli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Staphylococcusaureus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Streptococcuspyogenes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Candidaalbicans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Mycoplasmahominis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Mycoplasmagenitalium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Neisseriagonorrhoeae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Neisseriaflava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Neisseriasubflava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Neisseriasicca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Neisseriamucosa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Treponemapallidum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Trichomonasvaginalis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Toxoplasmagondii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Ureaplasmaurealyticum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Ureaplasmaparvum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HSV 1 та 2 типу, CMV, HPV (типи 6, 11, 16, 18, 31, 33, 35, 39, 45, 51, 52, 56, 58, 59). </w:t>
            </w:r>
          </w:p>
          <w:p w14:paraId="46E470C0" w14:textId="77777777" w:rsidR="000E2BAD" w:rsidRPr="000E2BAD" w:rsidRDefault="000E2BAD" w:rsidP="000E2B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Зразок для аналізу: секрет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передміхурової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залози, осад сечі, еякулят, </w:t>
            </w: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урогенітальний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зішкріб.</w:t>
            </w:r>
          </w:p>
          <w:p w14:paraId="44C654D6" w14:textId="77777777" w:rsidR="000E2BAD" w:rsidRPr="000E2BAD" w:rsidRDefault="000E2BAD" w:rsidP="000E2B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Об’єм досліджуваного зразка: 10 мкл.</w:t>
            </w:r>
          </w:p>
          <w:p w14:paraId="07B15C7A" w14:textId="77777777" w:rsidR="000E2BAD" w:rsidRPr="000E2BAD" w:rsidRDefault="000E2BAD" w:rsidP="000E2B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Буфер, готовий до використання (1.5 мл), прозора рідина від безбарвного до рожевого кольору.</w:t>
            </w:r>
          </w:p>
          <w:p w14:paraId="3A3579C8" w14:textId="77777777" w:rsidR="000E2BAD" w:rsidRPr="000E2BAD" w:rsidRDefault="000E2BAD" w:rsidP="000E2B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Полімераза</w:t>
            </w:r>
            <w:proofErr w:type="spellEnd"/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готова до використання (0.12 мл), прозора безбарвна рідина.</w:t>
            </w:r>
          </w:p>
          <w:p w14:paraId="308DAFBF" w14:textId="77777777" w:rsidR="000E2BAD" w:rsidRPr="000E2BAD" w:rsidRDefault="000E2BAD" w:rsidP="000E2B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ПКЗ – позитивний контрольний зразок, готовий до використання (0.5 мл) прозора безбарвна рідина.</w:t>
            </w:r>
          </w:p>
          <w:p w14:paraId="469BEDCE" w14:textId="77777777" w:rsidR="000E2BAD" w:rsidRPr="000E2BAD" w:rsidRDefault="000E2BAD" w:rsidP="000E2B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НКЗ– негативний контрольний зразок, готовий до використання (0.5 мл) прозора безбарвна рідина.</w:t>
            </w:r>
          </w:p>
          <w:p w14:paraId="4854A692" w14:textId="66FED33F" w:rsidR="000E2BAD" w:rsidRPr="00865EC0" w:rsidRDefault="000E2BAD" w:rsidP="000E2B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2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Об’єми компонентів у кожній партії можуть змінюватися.</w:t>
            </w:r>
          </w:p>
        </w:tc>
      </w:tr>
      <w:tr w:rsidR="003E4E3D" w:rsidRPr="003E4E3D" w14:paraId="730FBE12" w14:textId="77777777" w:rsidTr="00D16851">
        <w:tc>
          <w:tcPr>
            <w:tcW w:w="562" w:type="dxa"/>
            <w:shd w:val="clear" w:color="auto" w:fill="auto"/>
          </w:tcPr>
          <w:p w14:paraId="3F7B27C9" w14:textId="5A6C8FD8" w:rsidR="003E4E3D" w:rsidRPr="00CA3436" w:rsidRDefault="003E4E3D" w:rsidP="003E4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268" w:type="dxa"/>
          </w:tcPr>
          <w:p w14:paraId="72B21385" w14:textId="7DD3AB89" w:rsidR="003E4E3D" w:rsidRPr="002E6319" w:rsidRDefault="003E4E3D" w:rsidP="003E4E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4E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бір реагентів для виявлення ДНК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Neisseria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gonorrhoeae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E4E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методом </w:t>
            </w:r>
            <w:proofErr w:type="spellStart"/>
            <w:r w:rsidRPr="003E4E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олімеразної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ланцюгової </w:t>
            </w:r>
            <w:r w:rsidRPr="003E4E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реакції у </w:t>
            </w:r>
            <w:r w:rsidRPr="003E4E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реальному часі</w:t>
            </w:r>
          </w:p>
        </w:tc>
        <w:tc>
          <w:tcPr>
            <w:tcW w:w="1418" w:type="dxa"/>
          </w:tcPr>
          <w:p w14:paraId="34A3DCCA" w14:textId="0C09A1D0" w:rsidR="003E4E3D" w:rsidRPr="003E4E3D" w:rsidRDefault="003E4E3D" w:rsidP="003E4E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4E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51235 </w:t>
            </w:r>
            <w:proofErr w:type="spellStart"/>
            <w:r w:rsidRPr="003E4E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Neisseria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4E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gonorrhoeae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нуклеїнові кислоти IVD </w:t>
            </w:r>
            <w:r w:rsidRPr="003E4E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(діагностика </w:t>
            </w:r>
            <w:proofErr w:type="spellStart"/>
            <w:r w:rsidRPr="003E4E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4E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vitro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), набір, аналіз нуклеїнових кислот</w:t>
            </w:r>
          </w:p>
        </w:tc>
        <w:tc>
          <w:tcPr>
            <w:tcW w:w="709" w:type="dxa"/>
          </w:tcPr>
          <w:p w14:paraId="0D59F472" w14:textId="4A2551D0" w:rsidR="003E4E3D" w:rsidRPr="002E6319" w:rsidRDefault="003E4E3D" w:rsidP="003E4E3D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770A2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набі</w:t>
            </w:r>
            <w:proofErr w:type="gramStart"/>
            <w:r w:rsidRPr="00770A25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14:paraId="4F0382B1" w14:textId="5CEACC1B" w:rsidR="003E4E3D" w:rsidRPr="003E4E3D" w:rsidRDefault="003E4E3D" w:rsidP="003E4E3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14:paraId="38BA8B05" w14:textId="77777777" w:rsidR="003E4E3D" w:rsidRPr="00770A25" w:rsidRDefault="003E4E3D" w:rsidP="003E4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Принцип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аналізу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реакції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моноплексної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ПЛР у реальному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часі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гібридизаційно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-флуоресцентною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детекцією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6773FFA1" w14:textId="77777777" w:rsidR="003E4E3D" w:rsidRPr="00770A25" w:rsidRDefault="003E4E3D" w:rsidP="003E4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реакції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флуориметричний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метод по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двом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каналам: FAM/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Green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та контроль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біоматеріалу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каналу HEX/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Yellow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822A1E5" w14:textId="77777777" w:rsidR="003E4E3D" w:rsidRPr="00770A25" w:rsidRDefault="003E4E3D" w:rsidP="003E4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Формат: на 96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реакцій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3A9C94D" w14:textId="77777777" w:rsidR="003E4E3D" w:rsidRPr="00770A25" w:rsidRDefault="003E4E3D" w:rsidP="003E4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реакції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приблизно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120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хвилин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739C5328" w14:textId="77777777" w:rsidR="003E4E3D" w:rsidRPr="00770A25" w:rsidRDefault="003E4E3D" w:rsidP="003E4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Чутливість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1х10</w:t>
            </w:r>
            <w:r w:rsidRPr="00770A2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копій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/мл (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копій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специфічної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ДНК-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мішені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1 мл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біологічного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зразка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14:paraId="4F2F0A9C" w14:textId="77777777" w:rsidR="003E4E3D" w:rsidRPr="00770A25" w:rsidRDefault="003E4E3D" w:rsidP="003E4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Діагностична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чутливість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не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менше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98%.</w:t>
            </w:r>
          </w:p>
          <w:p w14:paraId="5AB6DDDC" w14:textId="77777777" w:rsidR="003E4E3D" w:rsidRPr="00770A25" w:rsidRDefault="003E4E3D" w:rsidP="003E4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Діагностична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специфічність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набору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складає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менше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98%.</w:t>
            </w:r>
          </w:p>
          <w:p w14:paraId="346A1CEF" w14:textId="77777777" w:rsidR="003E4E3D" w:rsidRPr="00770A25" w:rsidRDefault="003E4E3D" w:rsidP="003E4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Були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відсутні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перехресні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реакції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тестуванні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зразків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ДНК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людини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панелі</w:t>
            </w:r>
            <w:proofErr w:type="spellEnd"/>
          </w:p>
          <w:p w14:paraId="65E4D8C2" w14:textId="77777777" w:rsidR="003E4E3D" w:rsidRPr="00770A25" w:rsidRDefault="003E4E3D" w:rsidP="003E4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зразків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ДНК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наступних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мікроорганізмі</w:t>
            </w:r>
            <w:proofErr w:type="gram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Chlamydia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trachomatis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Mycoplasma</w:t>
            </w:r>
            <w:proofErr w:type="spellEnd"/>
          </w:p>
          <w:p w14:paraId="175C85D0" w14:textId="77777777" w:rsidR="003E4E3D" w:rsidRPr="003E4E3D" w:rsidRDefault="003E4E3D" w:rsidP="003E4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genitalium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Chlamydia </w:t>
            </w:r>
            <w:proofErr w:type="spellStart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pneumoniae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Gardnerella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vaginalis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Lactobacillus </w:t>
            </w:r>
            <w:proofErr w:type="spellStart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crispatus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14:paraId="53862F4A" w14:textId="77777777" w:rsidR="003E4E3D" w:rsidRPr="003E4E3D" w:rsidRDefault="003E4E3D" w:rsidP="003E4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Enterococcus </w:t>
            </w:r>
            <w:proofErr w:type="spellStart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faecium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Escherichia coli, Staphylococcus </w:t>
            </w:r>
            <w:proofErr w:type="spellStart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aureus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, Streptococcus</w:t>
            </w:r>
          </w:p>
          <w:p w14:paraId="5DD10299" w14:textId="77777777" w:rsidR="003E4E3D" w:rsidRPr="003E4E3D" w:rsidRDefault="003E4E3D" w:rsidP="003E4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pyogenes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Candida </w:t>
            </w:r>
            <w:proofErr w:type="spellStart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albicans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Mycoplasma </w:t>
            </w:r>
            <w:proofErr w:type="spellStart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hominis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Ureaplasma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urealyticum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Trichomonas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vaginalis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Neisseria </w:t>
            </w:r>
            <w:proofErr w:type="spellStart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flava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Neisseria </w:t>
            </w:r>
            <w:proofErr w:type="spellStart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subflava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Neisseria </w:t>
            </w:r>
            <w:proofErr w:type="spellStart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sicca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, Neisseria mucosa,</w:t>
            </w:r>
          </w:p>
          <w:p w14:paraId="365D83D2" w14:textId="77777777" w:rsidR="003E4E3D" w:rsidRPr="003E4E3D" w:rsidRDefault="003E4E3D" w:rsidP="003E4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Treponema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pallidum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Ureaplasma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parvum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Toxoplasma </w:t>
            </w:r>
            <w:proofErr w:type="spellStart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gondii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HSV1 </w:t>
            </w:r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2 </w:t>
            </w:r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типу</w:t>
            </w:r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, CMV,</w:t>
            </w:r>
          </w:p>
          <w:p w14:paraId="3C96D9C5" w14:textId="77777777" w:rsidR="003E4E3D" w:rsidRPr="003E4E3D" w:rsidRDefault="003E4E3D" w:rsidP="003E4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HPV (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типи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6, 11, 16, 18, 31, 33, 35, 39, 45, 51, 52, 56, 58, 59).</w:t>
            </w:r>
          </w:p>
          <w:p w14:paraId="022D232D" w14:textId="77777777" w:rsidR="003E4E3D" w:rsidRPr="003E4E3D" w:rsidRDefault="003E4E3D" w:rsidP="003E4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Зразок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аналізу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урогенітальні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зішкріби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еякулят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осад</w:t>
            </w:r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сечі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секрет</w:t>
            </w:r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передміхурової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залози</w:t>
            </w:r>
            <w:proofErr w:type="spellEnd"/>
            <w:r w:rsidRPr="003E4E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14:paraId="18AB2933" w14:textId="77777777" w:rsidR="003E4E3D" w:rsidRPr="00770A25" w:rsidRDefault="003E4E3D" w:rsidP="003E4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Об’єм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досліджуваного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зразка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10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мкл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ДНК-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проби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95857AD" w14:textId="77777777" w:rsidR="003E4E3D" w:rsidRPr="00770A25" w:rsidRDefault="003E4E3D" w:rsidP="003E4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Буфер,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готовий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(1.5 мл),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прозора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рідина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безбарвного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рожевого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кольору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D2889FF" w14:textId="77777777" w:rsidR="003E4E3D" w:rsidRPr="00770A25" w:rsidRDefault="003E4E3D" w:rsidP="003E4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Полімераза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готова до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(0.135 мл),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прозора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безбарвна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рідина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742E91C" w14:textId="77777777" w:rsidR="003E4E3D" w:rsidRPr="00770A25" w:rsidRDefault="003E4E3D" w:rsidP="003E4E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ПКЗ,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готовий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(1.0 мл),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прозора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безбарвна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рідина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4B9B2DD" w14:textId="4CF5991C" w:rsidR="003E4E3D" w:rsidRPr="00865EC0" w:rsidRDefault="003E4E3D" w:rsidP="003E4E3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НКЗ –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негативний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контрольний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зразок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готовий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(1.0 мл)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прозора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безбарвна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рідина</w:t>
            </w:r>
            <w:proofErr w:type="spellEnd"/>
            <w:r w:rsidRPr="00770A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58DB" w:rsidRPr="002E6319" w14:paraId="767549D1" w14:textId="77777777" w:rsidTr="001C0486">
        <w:tc>
          <w:tcPr>
            <w:tcW w:w="562" w:type="dxa"/>
            <w:shd w:val="clear" w:color="auto" w:fill="auto"/>
          </w:tcPr>
          <w:p w14:paraId="7FAA8E63" w14:textId="11D73281" w:rsidR="006858DB" w:rsidRPr="00CA3436" w:rsidRDefault="006858DB" w:rsidP="00685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2268" w:type="dxa"/>
          </w:tcPr>
          <w:p w14:paraId="4D257143" w14:textId="2EC13461" w:rsidR="006858DB" w:rsidRPr="002E6319" w:rsidRDefault="006858DB" w:rsidP="006858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63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CA3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</w:t>
            </w:r>
            <w:r w:rsidRPr="002E63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</w:t>
            </w:r>
            <w:r w:rsidRPr="00CA3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реагентів для екстракції ДНК</w:t>
            </w:r>
            <w:r w:rsidRPr="002E63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r w:rsidRPr="00CA34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РНК з біологічного матеріалу</w:t>
            </w:r>
          </w:p>
        </w:tc>
        <w:tc>
          <w:tcPr>
            <w:tcW w:w="1418" w:type="dxa"/>
          </w:tcPr>
          <w:p w14:paraId="45032B21" w14:textId="77777777" w:rsidR="006858DB" w:rsidRPr="00B86CBE" w:rsidRDefault="006858DB" w:rsidP="006858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319">
              <w:rPr>
                <w:rFonts w:ascii="Times New Roman" w:hAnsi="Times New Roman" w:cs="Times New Roman"/>
                <w:sz w:val="20"/>
                <w:szCs w:val="20"/>
              </w:rPr>
              <w:t xml:space="preserve">47923 </w:t>
            </w:r>
            <w:proofErr w:type="spellStart"/>
            <w:r w:rsidRPr="00B86CBE">
              <w:rPr>
                <w:rFonts w:ascii="Times New Roman" w:hAnsi="Times New Roman" w:cs="Times New Roman"/>
                <w:sz w:val="20"/>
                <w:szCs w:val="20"/>
              </w:rPr>
              <w:t>Множинні</w:t>
            </w:r>
            <w:proofErr w:type="spellEnd"/>
            <w:r w:rsidRPr="00B86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6CBE">
              <w:rPr>
                <w:rFonts w:ascii="Times New Roman" w:hAnsi="Times New Roman" w:cs="Times New Roman"/>
                <w:sz w:val="20"/>
                <w:szCs w:val="20"/>
              </w:rPr>
              <w:t>віруси</w:t>
            </w:r>
            <w:proofErr w:type="spellEnd"/>
            <w:r w:rsidRPr="00B86C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59A6C2E" w14:textId="77777777" w:rsidR="006858DB" w:rsidRPr="00B86CBE" w:rsidRDefault="006858DB" w:rsidP="006858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6CBE">
              <w:rPr>
                <w:rFonts w:ascii="Times New Roman" w:hAnsi="Times New Roman" w:cs="Times New Roman"/>
                <w:sz w:val="20"/>
                <w:szCs w:val="20"/>
              </w:rPr>
              <w:t>пов'язан</w:t>
            </w:r>
            <w:proofErr w:type="gramEnd"/>
            <w:r w:rsidRPr="00B86CBE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B86CBE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</w:p>
          <w:p w14:paraId="3034D65C" w14:textId="77777777" w:rsidR="006858DB" w:rsidRPr="00B86CBE" w:rsidRDefault="006858DB" w:rsidP="006858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6CBE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gramEnd"/>
            <w:r w:rsidRPr="00B86CBE">
              <w:rPr>
                <w:rFonts w:ascii="Times New Roman" w:hAnsi="Times New Roman" w:cs="Times New Roman"/>
                <w:sz w:val="20"/>
                <w:szCs w:val="20"/>
              </w:rPr>
              <w:t>іраторними</w:t>
            </w:r>
            <w:proofErr w:type="spellEnd"/>
          </w:p>
          <w:p w14:paraId="7610635B" w14:textId="77777777" w:rsidR="006858DB" w:rsidRPr="00B86CBE" w:rsidRDefault="006858DB" w:rsidP="006858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CBE">
              <w:rPr>
                <w:rFonts w:ascii="Times New Roman" w:hAnsi="Times New Roman" w:cs="Times New Roman"/>
                <w:sz w:val="20"/>
                <w:szCs w:val="20"/>
              </w:rPr>
              <w:t>захворюваннями</w:t>
            </w:r>
            <w:proofErr w:type="spellEnd"/>
            <w:r w:rsidRPr="00B86C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DC09563" w14:textId="77777777" w:rsidR="006858DB" w:rsidRPr="00B86CBE" w:rsidRDefault="006858DB" w:rsidP="006858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CBE">
              <w:rPr>
                <w:rFonts w:ascii="Times New Roman" w:hAnsi="Times New Roman" w:cs="Times New Roman"/>
                <w:sz w:val="20"/>
                <w:szCs w:val="20"/>
              </w:rPr>
              <w:t>нуклеїнові</w:t>
            </w:r>
            <w:proofErr w:type="spellEnd"/>
            <w:r w:rsidRPr="00B86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6CBE">
              <w:rPr>
                <w:rFonts w:ascii="Times New Roman" w:hAnsi="Times New Roman" w:cs="Times New Roman"/>
                <w:sz w:val="20"/>
                <w:szCs w:val="20"/>
              </w:rPr>
              <w:t>кислоти</w:t>
            </w:r>
            <w:proofErr w:type="spellEnd"/>
            <w:r w:rsidRPr="00B86CBE">
              <w:rPr>
                <w:rFonts w:ascii="Times New Roman" w:hAnsi="Times New Roman" w:cs="Times New Roman"/>
                <w:sz w:val="20"/>
                <w:szCs w:val="20"/>
              </w:rPr>
              <w:t xml:space="preserve"> IVD</w:t>
            </w:r>
          </w:p>
          <w:p w14:paraId="102FF692" w14:textId="77777777" w:rsidR="006858DB" w:rsidRPr="00B86CBE" w:rsidRDefault="006858DB" w:rsidP="006858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6CB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86CBE">
              <w:rPr>
                <w:rFonts w:ascii="Times New Roman" w:hAnsi="Times New Roman" w:cs="Times New Roman"/>
                <w:sz w:val="20"/>
                <w:szCs w:val="20"/>
              </w:rPr>
              <w:t>діагностика</w:t>
            </w:r>
            <w:proofErr w:type="spellEnd"/>
            <w:r w:rsidRPr="00B86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6CBE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B86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6CBE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proofErr w:type="gramStart"/>
            <w:r w:rsidRPr="00B86CBE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B86C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076F693" w14:textId="1B12FF68" w:rsidR="006858DB" w:rsidRPr="002E6319" w:rsidRDefault="006858DB" w:rsidP="006858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6CBE">
              <w:rPr>
                <w:rFonts w:ascii="Times New Roman" w:hAnsi="Times New Roman" w:cs="Times New Roman"/>
                <w:sz w:val="20"/>
                <w:szCs w:val="20"/>
              </w:rPr>
              <w:t>реагент</w:t>
            </w:r>
          </w:p>
        </w:tc>
        <w:tc>
          <w:tcPr>
            <w:tcW w:w="709" w:type="dxa"/>
          </w:tcPr>
          <w:p w14:paraId="5EDE3A12" w14:textId="42DCED62" w:rsidR="006858DB" w:rsidRPr="002E6319" w:rsidRDefault="006858DB" w:rsidP="006858DB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E631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набір</w:t>
            </w:r>
          </w:p>
        </w:tc>
        <w:tc>
          <w:tcPr>
            <w:tcW w:w="708" w:type="dxa"/>
            <w:shd w:val="clear" w:color="auto" w:fill="auto"/>
          </w:tcPr>
          <w:p w14:paraId="0E66A81F" w14:textId="7462F538" w:rsidR="006858DB" w:rsidRPr="002E6319" w:rsidRDefault="006858DB" w:rsidP="00685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14:paraId="7514FB0D" w14:textId="77777777" w:rsidR="006858DB" w:rsidRPr="00865EC0" w:rsidRDefault="006858DB" w:rsidP="006858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5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Принцип роботи набору реагентів ґрунтується на оборотному зв'язуванні молекул нуклеїнових кислот на поверхні магнітних часток. Досліджуваний зразок обробляється розчином для лізису в присутності магнітних часток. В результаті відбувається деструкція клітинних мембран, вірусних оболонок та інших біополімерних комплексів з подальшим вивільненням нуклеїнових кислот. Розчинені нуклеїнові кислоти зв'язуються з магнітними частками, в той час як інші компоненти </w:t>
            </w:r>
            <w:proofErr w:type="spellStart"/>
            <w:r w:rsidRPr="00865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лізованого</w:t>
            </w:r>
            <w:proofErr w:type="spellEnd"/>
            <w:r w:rsidRPr="00865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біологічного матеріалу залишаються в розчині і видаляються при осадженні часток на магнітному штативі з подальшим відмиванням магнітних часток. При додаванні буфера для </w:t>
            </w:r>
            <w:proofErr w:type="spellStart"/>
            <w:r w:rsidRPr="00865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елюції</w:t>
            </w:r>
            <w:proofErr w:type="spellEnd"/>
            <w:r w:rsidRPr="00865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магнітних часток відбувається елюювання нуклеїнових кислот з поверхні сорбенту в розчин. В результаті зазначеної процедури отримується </w:t>
            </w:r>
            <w:proofErr w:type="spellStart"/>
            <w:r w:rsidRPr="00865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високоочищений</w:t>
            </w:r>
            <w:proofErr w:type="spellEnd"/>
            <w:r w:rsidRPr="00865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препарат ДНК і РНК, вільний від інгібіторів реакції ампліфікації, що забезпечує високу аналітичну чутливість ПЛР-дослідження.</w:t>
            </w:r>
          </w:p>
          <w:p w14:paraId="40F01BEE" w14:textId="77777777" w:rsidR="006858DB" w:rsidRPr="00865EC0" w:rsidRDefault="006858DB" w:rsidP="006858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5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Матеріалом для проведення процедури екстракції ДНК/РНК слугує біологічний матеріал (клінічні зразки), у тому числі: мазки, </w:t>
            </w:r>
            <w:proofErr w:type="spellStart"/>
            <w:r w:rsidRPr="00865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зішкріби</w:t>
            </w:r>
            <w:proofErr w:type="spellEnd"/>
            <w:r w:rsidRPr="00865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мокрота, слина, лейкоцитарна фракція цільної крові, сеча (осад), фекалії, еякулят, секрет простати тощо з вмістом клітин від 100 до 10</w:t>
            </w:r>
            <w:r w:rsidRPr="00EA533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6</w:t>
            </w:r>
            <w:r w:rsidRPr="00865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зразку.</w:t>
            </w:r>
          </w:p>
          <w:p w14:paraId="566C5D30" w14:textId="77777777" w:rsidR="006858DB" w:rsidRPr="00865EC0" w:rsidRDefault="006858DB" w:rsidP="006858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65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Загальний</w:t>
            </w:r>
            <w:proofErr w:type="spellEnd"/>
            <w:r w:rsidRPr="00865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час проведення процедури виділення ДНК/РНК з 1 зразка ручним методом становить 40-50 хвилин, напівавтоматичним - 35-40 хвилин. </w:t>
            </w:r>
          </w:p>
          <w:p w14:paraId="163FF194" w14:textId="77777777" w:rsidR="006858DB" w:rsidRPr="00865EC0" w:rsidRDefault="006858DB" w:rsidP="006858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5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Набір реагентів забезпечує виділення ДНК/РНК з біологічного матеріалу з чистотою виділення за показником співвідношення А260/280 не менше 1,7.</w:t>
            </w:r>
          </w:p>
          <w:p w14:paraId="2E2366E6" w14:textId="77777777" w:rsidR="006858DB" w:rsidRPr="00865EC0" w:rsidRDefault="006858DB" w:rsidP="006858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5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Ефективність виділення ДНК/РНК становить від 30 до 70%.</w:t>
            </w:r>
          </w:p>
          <w:p w14:paraId="1F2F5EDF" w14:textId="77777777" w:rsidR="006858DB" w:rsidRPr="00865EC0" w:rsidRDefault="006858DB" w:rsidP="006858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7575844" w14:textId="77777777" w:rsidR="006858DB" w:rsidRPr="00865EC0" w:rsidRDefault="006858DB" w:rsidP="006858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5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Склад:</w:t>
            </w:r>
          </w:p>
          <w:p w14:paraId="6CE21EF0" w14:textId="77777777" w:rsidR="006858DB" w:rsidRPr="00865EC0" w:rsidRDefault="006858DB" w:rsidP="006858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5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865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Розчин з магнітними частками, 1.1 мл, суспензія бурого або чорного кольору</w:t>
            </w:r>
          </w:p>
          <w:p w14:paraId="39C9CF4E" w14:textId="77777777" w:rsidR="006858DB" w:rsidRPr="00865EC0" w:rsidRDefault="006858DB" w:rsidP="006858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5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865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Буфер для лізису, 45 мл, прозора безбарвна рідина</w:t>
            </w:r>
          </w:p>
          <w:p w14:paraId="0E22AF64" w14:textId="77777777" w:rsidR="006858DB" w:rsidRPr="00865EC0" w:rsidRDefault="006858DB" w:rsidP="006858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5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r w:rsidRPr="00865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Буфер для промивання №1, 80 мл, прозора безбарвна рідина</w:t>
            </w:r>
          </w:p>
          <w:p w14:paraId="63AF50D0" w14:textId="77777777" w:rsidR="006858DB" w:rsidRPr="00865EC0" w:rsidRDefault="006858DB" w:rsidP="006858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5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  <w:r w:rsidRPr="00865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Буфер для промивання №2, 80 мл, прозора безбарвна рідина</w:t>
            </w:r>
          </w:p>
          <w:p w14:paraId="57BC3253" w14:textId="77777777" w:rsidR="006858DB" w:rsidRDefault="006858DB" w:rsidP="006858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5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  <w:r w:rsidRPr="00865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 xml:space="preserve">Буфер для </w:t>
            </w:r>
            <w:proofErr w:type="spellStart"/>
            <w:r w:rsidRPr="00865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елюції</w:t>
            </w:r>
            <w:proofErr w:type="spellEnd"/>
            <w:r w:rsidRPr="00865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12 </w:t>
            </w:r>
            <w:proofErr w:type="spellStart"/>
            <w:r w:rsidRPr="00865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мл</w:t>
            </w:r>
            <w:proofErr w:type="spellEnd"/>
            <w:r w:rsidRPr="00865E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прозора безбарвна рідина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69E3702B" w14:textId="77777777" w:rsidR="006858DB" w:rsidRDefault="006858DB" w:rsidP="006858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34C701A" w14:textId="55530F8A" w:rsidR="006858DB" w:rsidRPr="00865EC0" w:rsidRDefault="006858DB" w:rsidP="006858D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2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підтвердження вимог надати інструкцію.</w:t>
            </w:r>
          </w:p>
        </w:tc>
      </w:tr>
      <w:tr w:rsidR="006A4B56" w:rsidRPr="006A4B56" w14:paraId="1091190B" w14:textId="77777777" w:rsidTr="003D7B6A">
        <w:tc>
          <w:tcPr>
            <w:tcW w:w="562" w:type="dxa"/>
            <w:shd w:val="clear" w:color="auto" w:fill="auto"/>
          </w:tcPr>
          <w:p w14:paraId="1B93D4B2" w14:textId="07B93AF6" w:rsidR="006A4B56" w:rsidRPr="00CA3436" w:rsidRDefault="006A4B56" w:rsidP="006A4B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2268" w:type="dxa"/>
          </w:tcPr>
          <w:p w14:paraId="11538377" w14:textId="1B5AC1C4" w:rsidR="006A4B56" w:rsidRPr="002E6319" w:rsidRDefault="006A4B56" w:rsidP="006A4B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4B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Набір реагентів для виявлення ДНК </w:t>
            </w:r>
            <w:proofErr w:type="spellStart"/>
            <w:r w:rsidRPr="006A4B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Trichomonas</w:t>
            </w:r>
            <w:proofErr w:type="spellEnd"/>
            <w:r w:rsidRPr="006A4B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A4B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vaginalis</w:t>
            </w:r>
            <w:proofErr w:type="spellEnd"/>
            <w:r w:rsidRPr="006A4B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методом </w:t>
            </w:r>
            <w:proofErr w:type="spellStart"/>
            <w:r w:rsidRPr="006A4B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полімеразної</w:t>
            </w:r>
            <w:proofErr w:type="spellEnd"/>
            <w:r w:rsidRPr="006A4B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ланцюгової реакції в режимі реального часу</w:t>
            </w:r>
          </w:p>
        </w:tc>
        <w:tc>
          <w:tcPr>
            <w:tcW w:w="1418" w:type="dxa"/>
          </w:tcPr>
          <w:p w14:paraId="4BE714B1" w14:textId="65D46179" w:rsidR="006A4B56" w:rsidRPr="006A4B56" w:rsidRDefault="006A4B56" w:rsidP="006A4B5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A4B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52475 </w:t>
            </w:r>
            <w:proofErr w:type="spellStart"/>
            <w:r w:rsidRPr="006A4B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Трихомонада</w:t>
            </w:r>
            <w:proofErr w:type="spellEnd"/>
            <w:r w:rsidRPr="006A4B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вагінальна, нуклеїнові кислоти IVD (діагностика </w:t>
            </w:r>
            <w:proofErr w:type="spellStart"/>
            <w:r w:rsidRPr="006A4B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6A4B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A4B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vitro</w:t>
            </w:r>
            <w:proofErr w:type="spellEnd"/>
            <w:r w:rsidRPr="006A4B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), набір, аналіз нуклеїнових кислот</w:t>
            </w:r>
          </w:p>
        </w:tc>
        <w:tc>
          <w:tcPr>
            <w:tcW w:w="709" w:type="dxa"/>
          </w:tcPr>
          <w:p w14:paraId="7B11A76F" w14:textId="5B5A03C2" w:rsidR="006A4B56" w:rsidRPr="002E6319" w:rsidRDefault="006A4B56" w:rsidP="006A4B56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770A25">
              <w:rPr>
                <w:rFonts w:ascii="Times New Roman" w:hAnsi="Times New Roman" w:cs="Times New Roman"/>
                <w:bCs/>
                <w:sz w:val="20"/>
                <w:szCs w:val="20"/>
              </w:rPr>
              <w:t>набі</w:t>
            </w:r>
            <w:proofErr w:type="gramStart"/>
            <w:r w:rsidRPr="00770A25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14:paraId="6F51450F" w14:textId="3C9E4A2F" w:rsidR="006A4B56" w:rsidRPr="006A4B56" w:rsidRDefault="006A4B56" w:rsidP="006A4B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14:paraId="1D560B11" w14:textId="77777777" w:rsidR="006A4B56" w:rsidRPr="003352EB" w:rsidRDefault="006A4B56" w:rsidP="006A4B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Принцип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аналізу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реакції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моноплексної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ПЛР у реальному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часі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гібридизаційно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-флуоресцентною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детекцією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08F3439A" w14:textId="77777777" w:rsidR="006A4B56" w:rsidRPr="003352EB" w:rsidRDefault="006A4B56" w:rsidP="006A4B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реакції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флуориметричний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метод по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двом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каналам: Cy5/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Red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продукт</w:t>
            </w:r>
            <w:proofErr w:type="gram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ів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ампліфікації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ДНК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Trichomonas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vaginalis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та HEX/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Yellow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для продукту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ампліфікації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ДНК КБ.</w:t>
            </w:r>
          </w:p>
          <w:p w14:paraId="777515CD" w14:textId="77777777" w:rsidR="006A4B56" w:rsidRPr="003352EB" w:rsidRDefault="006A4B56" w:rsidP="006A4B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Формат: на 96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реакцій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1D255C7" w14:textId="77777777" w:rsidR="006A4B56" w:rsidRPr="003352EB" w:rsidRDefault="006A4B56" w:rsidP="006A4B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реакції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приблизно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100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хвилин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5D319A51" w14:textId="77777777" w:rsidR="006A4B56" w:rsidRPr="003352EB" w:rsidRDefault="006A4B56" w:rsidP="006A4B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Чутливість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500 *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копій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/мл.</w:t>
            </w:r>
          </w:p>
          <w:p w14:paraId="52FA0C43" w14:textId="77777777" w:rsidR="006A4B56" w:rsidRPr="003352EB" w:rsidRDefault="006A4B56" w:rsidP="006A4B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Діагностична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чутливість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не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менше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98%.</w:t>
            </w:r>
          </w:p>
          <w:p w14:paraId="5DB54353" w14:textId="77777777" w:rsidR="006A4B56" w:rsidRPr="003352EB" w:rsidRDefault="006A4B56" w:rsidP="006A4B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Діагностична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специфічність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набору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складає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менше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98%.</w:t>
            </w:r>
          </w:p>
          <w:p w14:paraId="0DE4B0F4" w14:textId="77777777" w:rsidR="006A4B56" w:rsidRPr="003352EB" w:rsidRDefault="006A4B56" w:rsidP="006A4B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Були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відсутні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перехресні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реакції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тестуванні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зразків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ДНК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людини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панелі</w:t>
            </w:r>
            <w:proofErr w:type="spellEnd"/>
          </w:p>
          <w:p w14:paraId="19654667" w14:textId="77777777" w:rsidR="006A4B56" w:rsidRPr="003352EB" w:rsidRDefault="006A4B56" w:rsidP="006A4B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зразків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ДНК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наступних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мікроорганізмі</w:t>
            </w:r>
            <w:proofErr w:type="gram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Chlamydia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trachomatis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Mycoplasma</w:t>
            </w:r>
            <w:proofErr w:type="spellEnd"/>
          </w:p>
          <w:p w14:paraId="5D4A9503" w14:textId="77777777" w:rsidR="006A4B56" w:rsidRPr="006A4B56" w:rsidRDefault="006A4B56" w:rsidP="006A4B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genitalium</w:t>
            </w:r>
            <w:proofErr w:type="spellEnd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Chlamydia </w:t>
            </w:r>
            <w:proofErr w:type="spellStart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pneumoniae</w:t>
            </w:r>
            <w:proofErr w:type="spellEnd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Gardnerella</w:t>
            </w:r>
            <w:proofErr w:type="spellEnd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vaginalis</w:t>
            </w:r>
            <w:proofErr w:type="spellEnd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Lactobacillus </w:t>
            </w:r>
            <w:proofErr w:type="spellStart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crispatus</w:t>
            </w:r>
            <w:proofErr w:type="spellEnd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14:paraId="11438BC1" w14:textId="77777777" w:rsidR="006A4B56" w:rsidRPr="006A4B56" w:rsidRDefault="006A4B56" w:rsidP="006A4B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Enterococcus </w:t>
            </w:r>
            <w:proofErr w:type="spellStart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faecium</w:t>
            </w:r>
            <w:proofErr w:type="spellEnd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Escherichia coli, Staphylococcus </w:t>
            </w:r>
            <w:proofErr w:type="spellStart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aureus</w:t>
            </w:r>
            <w:proofErr w:type="spellEnd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, Streptococcus</w:t>
            </w:r>
          </w:p>
          <w:p w14:paraId="675521A9" w14:textId="77777777" w:rsidR="006A4B56" w:rsidRPr="006A4B56" w:rsidRDefault="006A4B56" w:rsidP="006A4B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pyogenes</w:t>
            </w:r>
            <w:proofErr w:type="spellEnd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Candida </w:t>
            </w:r>
            <w:proofErr w:type="spellStart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albicans</w:t>
            </w:r>
            <w:proofErr w:type="spellEnd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Mycoplasma </w:t>
            </w:r>
            <w:proofErr w:type="spellStart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hominis</w:t>
            </w:r>
            <w:proofErr w:type="spellEnd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Ureaplasma</w:t>
            </w:r>
            <w:proofErr w:type="spellEnd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urealyticum</w:t>
            </w:r>
            <w:proofErr w:type="spellEnd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, Neisseria</w:t>
            </w:r>
          </w:p>
          <w:p w14:paraId="47F9333A" w14:textId="77777777" w:rsidR="006A4B56" w:rsidRPr="006A4B56" w:rsidRDefault="006A4B56" w:rsidP="006A4B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gonorrhoeae</w:t>
            </w:r>
            <w:proofErr w:type="spellEnd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Neisseria </w:t>
            </w:r>
            <w:proofErr w:type="spellStart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flava</w:t>
            </w:r>
            <w:proofErr w:type="spellEnd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Neisseria </w:t>
            </w:r>
            <w:proofErr w:type="spellStart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subflava</w:t>
            </w:r>
            <w:proofErr w:type="spellEnd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Neisseria </w:t>
            </w:r>
            <w:proofErr w:type="spellStart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sicca</w:t>
            </w:r>
            <w:proofErr w:type="spellEnd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, Neisseria mucosa,</w:t>
            </w:r>
          </w:p>
          <w:p w14:paraId="3E2F01F3" w14:textId="77777777" w:rsidR="006A4B56" w:rsidRPr="006A4B56" w:rsidRDefault="006A4B56" w:rsidP="006A4B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Treponema</w:t>
            </w:r>
            <w:proofErr w:type="spellEnd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pallidum</w:t>
            </w:r>
            <w:proofErr w:type="spellEnd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Ureaplasma</w:t>
            </w:r>
            <w:proofErr w:type="spellEnd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parvum</w:t>
            </w:r>
            <w:proofErr w:type="spellEnd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Toxoplasma </w:t>
            </w:r>
            <w:proofErr w:type="spellStart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gondii</w:t>
            </w:r>
            <w:proofErr w:type="spellEnd"/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HSV1 </w:t>
            </w:r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2 </w:t>
            </w:r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типу</w:t>
            </w:r>
            <w:r w:rsidRPr="006A4B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, CMV,</w:t>
            </w:r>
          </w:p>
          <w:p w14:paraId="2C6AA4DD" w14:textId="77777777" w:rsidR="006A4B56" w:rsidRPr="003352EB" w:rsidRDefault="006A4B56" w:rsidP="006A4B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HPV (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типи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16, 18, 31, 33, 35, 39, 45, 51, 52, 56, 58, 59).</w:t>
            </w:r>
          </w:p>
          <w:p w14:paraId="1243871B" w14:textId="77777777" w:rsidR="006A4B56" w:rsidRPr="003352EB" w:rsidRDefault="006A4B56" w:rsidP="006A4B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Зразок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аналізу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зішкріб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епітелею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урогенітального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тракту, сперма, осад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сечі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секрет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передміхурової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залози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3A2E1F6" w14:textId="77777777" w:rsidR="006A4B56" w:rsidRPr="003352EB" w:rsidRDefault="006A4B56" w:rsidP="006A4B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Об’єм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досліджуваного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зразка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10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мкл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AC37B53" w14:textId="77777777" w:rsidR="006A4B56" w:rsidRPr="003352EB" w:rsidRDefault="006A4B56" w:rsidP="006A4B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Буфер,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готовий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(1,5 мл),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прозора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рідина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безбарвного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рожевого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кольору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85EFAA4" w14:textId="77777777" w:rsidR="006A4B56" w:rsidRPr="003352EB" w:rsidRDefault="006A4B56" w:rsidP="006A4B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Полімераза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готова до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(0,12 мл),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прозора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безбарвна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рідина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EC2371A" w14:textId="77777777" w:rsidR="006A4B56" w:rsidRPr="003352EB" w:rsidRDefault="006A4B56" w:rsidP="006A4B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ПКЗ,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готовий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(0,25 мл),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прозора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безбарвна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рідина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BD3347B" w14:textId="4BC8ABE6" w:rsidR="006A4B56" w:rsidRPr="00865EC0" w:rsidRDefault="006A4B56" w:rsidP="006A4B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НКЗ –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негативний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контрольний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зразок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готовий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(0,25 мл)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прозора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безбарвна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рідина</w:t>
            </w:r>
            <w:proofErr w:type="spellEnd"/>
            <w:r w:rsidRPr="003352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F5171" w:rsidRPr="002F5171" w14:paraId="7804B646" w14:textId="77777777" w:rsidTr="00A47DB7">
        <w:tc>
          <w:tcPr>
            <w:tcW w:w="562" w:type="dxa"/>
            <w:shd w:val="clear" w:color="auto" w:fill="auto"/>
          </w:tcPr>
          <w:p w14:paraId="2200143A" w14:textId="68179667" w:rsidR="002F5171" w:rsidRPr="00CA3436" w:rsidRDefault="002F5171" w:rsidP="002F5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268" w:type="dxa"/>
          </w:tcPr>
          <w:p w14:paraId="7814A8FF" w14:textId="23CAA552" w:rsidR="002F5171" w:rsidRPr="002E6319" w:rsidRDefault="002F5171" w:rsidP="002F51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51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Набір реагентів для виявлення та диференціації ДНК </w:t>
            </w:r>
            <w:r w:rsidRPr="002F51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вірусу папіломи людини</w:t>
            </w:r>
          </w:p>
        </w:tc>
        <w:tc>
          <w:tcPr>
            <w:tcW w:w="1418" w:type="dxa"/>
          </w:tcPr>
          <w:p w14:paraId="4BA42AC2" w14:textId="5F3D8CCC" w:rsidR="002F5171" w:rsidRPr="002F5171" w:rsidRDefault="0033702C" w:rsidP="002F517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49994 </w:t>
            </w:r>
            <w:proofErr w:type="spellStart"/>
            <w:r w:rsidRPr="003370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Папіломавірус</w:t>
            </w:r>
            <w:proofErr w:type="spellEnd"/>
            <w:r w:rsidRPr="003370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людини </w:t>
            </w:r>
            <w:r w:rsidRPr="003370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(HPV) нуклеїнова кислота IVD, набір, аналіз нуклеїнових кислот</w:t>
            </w:r>
          </w:p>
        </w:tc>
        <w:tc>
          <w:tcPr>
            <w:tcW w:w="709" w:type="dxa"/>
            <w:shd w:val="clear" w:color="auto" w:fill="auto"/>
          </w:tcPr>
          <w:p w14:paraId="74093282" w14:textId="27E9A783" w:rsidR="002F5171" w:rsidRPr="002E6319" w:rsidRDefault="002F5171" w:rsidP="002F5171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2E6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набі</w:t>
            </w:r>
            <w:proofErr w:type="gramStart"/>
            <w:r w:rsidRPr="002E63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14:paraId="1FE3A3DC" w14:textId="69D7FD4A" w:rsidR="002F5171" w:rsidRPr="002F5171" w:rsidRDefault="002F5171" w:rsidP="002F51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</w:tcPr>
          <w:p w14:paraId="74074C40" w14:textId="57051661" w:rsidR="002F5171" w:rsidRDefault="002F5171" w:rsidP="002F51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51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Набір реагентів для виявлення та диференціації ДНК вірусу папіломи людини призначений для якісного виявлення </w:t>
            </w:r>
            <w:proofErr w:type="spellStart"/>
            <w:r w:rsidRPr="002F51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2F51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51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vitro</w:t>
            </w:r>
            <w:proofErr w:type="spellEnd"/>
            <w:r w:rsidRPr="002F51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(ДНК) 24 (16, 18, 31, 33, 35, 39, 45, </w:t>
            </w:r>
            <w:r w:rsidRPr="002F51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51, 52, 56, 58, 59, 68, 26, 53, 66, 73, 82, 6, 11, 42, 43, 44, 81) типів вірусу папіломи людини в зразках мазка з уретри у чоловіків і мазка з шийки матки у жінок, методом </w:t>
            </w:r>
            <w:proofErr w:type="spellStart"/>
            <w:r w:rsidRPr="002F51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полімеразної</w:t>
            </w:r>
            <w:proofErr w:type="spellEnd"/>
            <w:r w:rsidRPr="002F51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ланцюгової реакції (ПЛР).</w:t>
            </w:r>
          </w:p>
          <w:p w14:paraId="399A849E" w14:textId="77777777" w:rsidR="002F5171" w:rsidRDefault="002F5171" w:rsidP="002F51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51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Принцип методу полягає в одночасній ампліфікації (</w:t>
            </w:r>
            <w:proofErr w:type="spellStart"/>
            <w:r w:rsidRPr="002F51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мультиплексна</w:t>
            </w:r>
            <w:proofErr w:type="spellEnd"/>
            <w:r w:rsidRPr="002F51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ПЛР) та </w:t>
            </w:r>
            <w:proofErr w:type="spellStart"/>
            <w:r w:rsidRPr="002F51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детекції</w:t>
            </w:r>
            <w:proofErr w:type="spellEnd"/>
            <w:r w:rsidRPr="002F51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режимі «реального часу» ділянок ДНК трьох генотипів ВПЛ і ділянки ДНК β- </w:t>
            </w:r>
            <w:proofErr w:type="spellStart"/>
            <w:r w:rsidRPr="002F51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глобінового</w:t>
            </w:r>
            <w:proofErr w:type="spellEnd"/>
            <w:r w:rsidRPr="002F51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гену, який використовується у якості внутрішнього контролю.  </w:t>
            </w:r>
            <w:proofErr w:type="spellStart"/>
            <w:r w:rsidRPr="002F51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Праймери</w:t>
            </w:r>
            <w:proofErr w:type="spellEnd"/>
            <w:r w:rsidRPr="002F51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флуоресцентні зонди цього набору є специфічні, розроблені в локусах E6/E7 генома ВПЛ та флуоресцентні зонди мічені флуоресцентними барвниками FAM, VIC та ROX відповідно і β- </w:t>
            </w:r>
            <w:proofErr w:type="spellStart"/>
            <w:r w:rsidRPr="002F51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глобіновий</w:t>
            </w:r>
            <w:proofErr w:type="spellEnd"/>
            <w:r w:rsidRPr="002F51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ген в якості внутрішнього контролю (ВК), що мічений флуоресцентним барвником Cy5.</w:t>
            </w:r>
          </w:p>
          <w:p w14:paraId="2EC8C445" w14:textId="671E68E0" w:rsidR="002F5171" w:rsidRDefault="002F5171" w:rsidP="002F51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Набір на 24 визначення.</w:t>
            </w:r>
          </w:p>
          <w:p w14:paraId="22A43ACE" w14:textId="1170C881" w:rsidR="002F5171" w:rsidRDefault="002F5171" w:rsidP="002F51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 набору:</w:t>
            </w:r>
          </w:p>
          <w:tbl>
            <w:tblPr>
              <w:tblStyle w:val="1"/>
              <w:tblW w:w="456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92"/>
              <w:gridCol w:w="837"/>
              <w:gridCol w:w="2337"/>
            </w:tblGrid>
            <w:tr w:rsidR="002F5171" w:rsidRPr="004B0DE2" w14:paraId="47B43D3A" w14:textId="77777777" w:rsidTr="002F5171">
              <w:trPr>
                <w:trHeight w:val="330"/>
                <w:jc w:val="center"/>
              </w:trPr>
              <w:tc>
                <w:tcPr>
                  <w:tcW w:w="1392" w:type="dxa"/>
                  <w:vMerge w:val="restart"/>
                </w:tcPr>
                <w:p w14:paraId="18D08A41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uk-UA"/>
                    </w:rPr>
                    <w:t>Стриповані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пробірки з реагентами ВПЛ</w:t>
                  </w:r>
                </w:p>
              </w:tc>
              <w:tc>
                <w:tcPr>
                  <w:tcW w:w="837" w:type="dxa"/>
                  <w:vMerge w:val="restart"/>
                </w:tcPr>
                <w:p w14:paraId="1354A2AD" w14:textId="77777777" w:rsidR="002F5171" w:rsidRPr="004B0DE2" w:rsidRDefault="002F5171" w:rsidP="002F5171">
                  <w:pPr>
                    <w:ind w:right="27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24 шт.</w:t>
                  </w:r>
                </w:p>
              </w:tc>
              <w:tc>
                <w:tcPr>
                  <w:tcW w:w="2337" w:type="dxa"/>
                </w:tcPr>
                <w:p w14:paraId="30F19021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 xml:space="preserve">Спеціальні </w:t>
                  </w:r>
                  <w:proofErr w:type="spellStart"/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>праймери</w:t>
                  </w:r>
                  <w:proofErr w:type="spellEnd"/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 xml:space="preserve"> та зонди для</w:t>
                  </w:r>
                </w:p>
                <w:p w14:paraId="3E330E31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>ВПЛ 16, 18, 31 і ВК</w:t>
                  </w:r>
                </w:p>
              </w:tc>
            </w:tr>
            <w:tr w:rsidR="002F5171" w:rsidRPr="004B0DE2" w14:paraId="29D07AD5" w14:textId="77777777" w:rsidTr="002F5171">
              <w:trPr>
                <w:trHeight w:val="330"/>
                <w:jc w:val="center"/>
              </w:trPr>
              <w:tc>
                <w:tcPr>
                  <w:tcW w:w="1392" w:type="dxa"/>
                  <w:vMerge/>
                </w:tcPr>
                <w:p w14:paraId="689DA239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37" w:type="dxa"/>
                  <w:vMerge/>
                </w:tcPr>
                <w:p w14:paraId="026561D7" w14:textId="77777777" w:rsidR="002F5171" w:rsidRPr="004B0DE2" w:rsidRDefault="002F5171" w:rsidP="002F5171">
                  <w:pPr>
                    <w:ind w:right="27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337" w:type="dxa"/>
                </w:tcPr>
                <w:p w14:paraId="0667359F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 xml:space="preserve">Спеціальні </w:t>
                  </w:r>
                  <w:proofErr w:type="spellStart"/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>праймери</w:t>
                  </w:r>
                  <w:proofErr w:type="spellEnd"/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 xml:space="preserve"> та зонди для</w:t>
                  </w:r>
                </w:p>
                <w:p w14:paraId="4080D74D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>ВПЛ 33, 35, 39 і ВК</w:t>
                  </w:r>
                </w:p>
              </w:tc>
            </w:tr>
            <w:tr w:rsidR="002F5171" w:rsidRPr="004B0DE2" w14:paraId="692D2866" w14:textId="77777777" w:rsidTr="002F5171">
              <w:trPr>
                <w:trHeight w:val="330"/>
                <w:jc w:val="center"/>
              </w:trPr>
              <w:tc>
                <w:tcPr>
                  <w:tcW w:w="1392" w:type="dxa"/>
                  <w:vMerge/>
                </w:tcPr>
                <w:p w14:paraId="3E050E14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37" w:type="dxa"/>
                  <w:vMerge/>
                </w:tcPr>
                <w:p w14:paraId="62F9E0CB" w14:textId="77777777" w:rsidR="002F5171" w:rsidRPr="004B0DE2" w:rsidRDefault="002F5171" w:rsidP="002F5171">
                  <w:pPr>
                    <w:ind w:right="27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337" w:type="dxa"/>
                </w:tcPr>
                <w:p w14:paraId="2731A92F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 xml:space="preserve">Спеціальні </w:t>
                  </w:r>
                  <w:proofErr w:type="spellStart"/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>праймери</w:t>
                  </w:r>
                  <w:proofErr w:type="spellEnd"/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 xml:space="preserve"> та зонди для</w:t>
                  </w:r>
                </w:p>
                <w:p w14:paraId="373436F5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>ВПЛ 45, 51, 52 і ВК</w:t>
                  </w:r>
                </w:p>
              </w:tc>
            </w:tr>
            <w:tr w:rsidR="002F5171" w:rsidRPr="004B0DE2" w14:paraId="470C7905" w14:textId="77777777" w:rsidTr="002F5171">
              <w:trPr>
                <w:trHeight w:val="159"/>
                <w:jc w:val="center"/>
              </w:trPr>
              <w:tc>
                <w:tcPr>
                  <w:tcW w:w="1392" w:type="dxa"/>
                  <w:vMerge/>
                </w:tcPr>
                <w:p w14:paraId="0473B144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37" w:type="dxa"/>
                  <w:vMerge/>
                </w:tcPr>
                <w:p w14:paraId="656439DE" w14:textId="77777777" w:rsidR="002F5171" w:rsidRPr="004B0DE2" w:rsidRDefault="002F5171" w:rsidP="002F5171">
                  <w:pPr>
                    <w:ind w:right="27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337" w:type="dxa"/>
                </w:tcPr>
                <w:p w14:paraId="510CF461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 xml:space="preserve">Спеціальні </w:t>
                  </w:r>
                  <w:proofErr w:type="spellStart"/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>праймери</w:t>
                  </w:r>
                  <w:proofErr w:type="spellEnd"/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 xml:space="preserve"> та зонди для</w:t>
                  </w:r>
                </w:p>
                <w:p w14:paraId="79081B4E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>ВПЛ 56, 58, 59 і ВК</w:t>
                  </w:r>
                </w:p>
              </w:tc>
            </w:tr>
            <w:tr w:rsidR="002F5171" w:rsidRPr="004B0DE2" w14:paraId="70A2A2E6" w14:textId="77777777" w:rsidTr="002F5171">
              <w:trPr>
                <w:trHeight w:val="159"/>
                <w:jc w:val="center"/>
              </w:trPr>
              <w:tc>
                <w:tcPr>
                  <w:tcW w:w="1392" w:type="dxa"/>
                  <w:vMerge/>
                </w:tcPr>
                <w:p w14:paraId="448B8E0E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37" w:type="dxa"/>
                  <w:vMerge/>
                </w:tcPr>
                <w:p w14:paraId="38D595BD" w14:textId="77777777" w:rsidR="002F5171" w:rsidRPr="004B0DE2" w:rsidRDefault="002F5171" w:rsidP="002F5171">
                  <w:pPr>
                    <w:ind w:right="27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337" w:type="dxa"/>
                </w:tcPr>
                <w:p w14:paraId="74DE47A7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 xml:space="preserve">Спеціальні </w:t>
                  </w:r>
                  <w:proofErr w:type="spellStart"/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>праймери</w:t>
                  </w:r>
                  <w:proofErr w:type="spellEnd"/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 xml:space="preserve"> та зонди для</w:t>
                  </w:r>
                </w:p>
                <w:p w14:paraId="0E6FC343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>ВПЛ (68, 26, 53 і ВК</w:t>
                  </w:r>
                </w:p>
              </w:tc>
            </w:tr>
            <w:tr w:rsidR="002F5171" w:rsidRPr="004B0DE2" w14:paraId="71E8F962" w14:textId="77777777" w:rsidTr="002F5171">
              <w:trPr>
                <w:trHeight w:val="159"/>
                <w:jc w:val="center"/>
              </w:trPr>
              <w:tc>
                <w:tcPr>
                  <w:tcW w:w="1392" w:type="dxa"/>
                  <w:vMerge/>
                </w:tcPr>
                <w:p w14:paraId="2A504F49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37" w:type="dxa"/>
                  <w:vMerge/>
                </w:tcPr>
                <w:p w14:paraId="65FE7590" w14:textId="77777777" w:rsidR="002F5171" w:rsidRPr="004B0DE2" w:rsidRDefault="002F5171" w:rsidP="002F5171">
                  <w:pPr>
                    <w:ind w:right="27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337" w:type="dxa"/>
                </w:tcPr>
                <w:p w14:paraId="6DF1118B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 xml:space="preserve">Спеціальні </w:t>
                  </w:r>
                  <w:proofErr w:type="spellStart"/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>праймери</w:t>
                  </w:r>
                  <w:proofErr w:type="spellEnd"/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 xml:space="preserve"> та зонди для</w:t>
                  </w:r>
                </w:p>
                <w:p w14:paraId="543AE17A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>ВПЛ 66, 73, 82 і ВК</w:t>
                  </w:r>
                </w:p>
              </w:tc>
            </w:tr>
            <w:tr w:rsidR="002F5171" w:rsidRPr="004B0DE2" w14:paraId="68822337" w14:textId="77777777" w:rsidTr="002F5171">
              <w:trPr>
                <w:trHeight w:val="159"/>
                <w:jc w:val="center"/>
              </w:trPr>
              <w:tc>
                <w:tcPr>
                  <w:tcW w:w="1392" w:type="dxa"/>
                  <w:vMerge/>
                </w:tcPr>
                <w:p w14:paraId="11B40C4E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37" w:type="dxa"/>
                  <w:vMerge/>
                </w:tcPr>
                <w:p w14:paraId="4348CECC" w14:textId="77777777" w:rsidR="002F5171" w:rsidRPr="004B0DE2" w:rsidRDefault="002F5171" w:rsidP="002F5171">
                  <w:pPr>
                    <w:ind w:right="27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337" w:type="dxa"/>
                </w:tcPr>
                <w:p w14:paraId="5B32465E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 xml:space="preserve">Спеціальні </w:t>
                  </w:r>
                  <w:proofErr w:type="spellStart"/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>праймери</w:t>
                  </w:r>
                  <w:proofErr w:type="spellEnd"/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 xml:space="preserve"> та зонди для</w:t>
                  </w:r>
                </w:p>
                <w:p w14:paraId="32C27152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>ВПЛ (6, 11, 42 і ВК</w:t>
                  </w:r>
                </w:p>
              </w:tc>
            </w:tr>
            <w:tr w:rsidR="002F5171" w:rsidRPr="004B0DE2" w14:paraId="08866DCE" w14:textId="77777777" w:rsidTr="002F5171">
              <w:trPr>
                <w:trHeight w:val="159"/>
                <w:jc w:val="center"/>
              </w:trPr>
              <w:tc>
                <w:tcPr>
                  <w:tcW w:w="1392" w:type="dxa"/>
                  <w:vMerge/>
                </w:tcPr>
                <w:p w14:paraId="638DD94F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37" w:type="dxa"/>
                  <w:vMerge/>
                </w:tcPr>
                <w:p w14:paraId="53D68DDB" w14:textId="77777777" w:rsidR="002F5171" w:rsidRPr="004B0DE2" w:rsidRDefault="002F5171" w:rsidP="002F5171">
                  <w:pPr>
                    <w:ind w:right="27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2337" w:type="dxa"/>
                </w:tcPr>
                <w:p w14:paraId="690CE273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 xml:space="preserve">Спеціальні </w:t>
                  </w:r>
                  <w:proofErr w:type="spellStart"/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>праймери</w:t>
                  </w:r>
                  <w:proofErr w:type="spellEnd"/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 xml:space="preserve"> та зонди для</w:t>
                  </w:r>
                </w:p>
                <w:p w14:paraId="2E583217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>ВПЛ 43, 44, 81 і ВК</w:t>
                  </w:r>
                </w:p>
              </w:tc>
            </w:tr>
            <w:tr w:rsidR="002F5171" w:rsidRPr="004B0DE2" w14:paraId="5BE2D3C5" w14:textId="77777777" w:rsidTr="002F5171">
              <w:trPr>
                <w:trHeight w:val="627"/>
                <w:jc w:val="center"/>
              </w:trPr>
              <w:tc>
                <w:tcPr>
                  <w:tcW w:w="1392" w:type="dxa"/>
                </w:tcPr>
                <w:p w14:paraId="282F3C52" w14:textId="368CD2B3" w:rsidR="002F5171" w:rsidRPr="004B0DE2" w:rsidRDefault="002F5171" w:rsidP="002F5171">
                  <w:pPr>
                    <w:jc w:val="center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</w:p>
                <w:p w14:paraId="3729F061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B0DE2">
                    <w:rPr>
                      <w:rFonts w:ascii="Times New Roman" w:eastAsia="Calibri" w:hAnsi="Times New Roman" w:cs="Times New Roman"/>
                      <w:lang w:val="uk-UA"/>
                    </w:rPr>
                    <w:t>Позитивний контроль (К+)</w:t>
                  </w:r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 xml:space="preserve"> (HPV 24)</w:t>
                  </w:r>
                </w:p>
              </w:tc>
              <w:tc>
                <w:tcPr>
                  <w:tcW w:w="837" w:type="dxa"/>
                </w:tcPr>
                <w:p w14:paraId="5EF783DE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 xml:space="preserve">1 пробірка об’ємом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7</w:t>
                  </w:r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>00 мкл [µl]</w:t>
                  </w:r>
                </w:p>
              </w:tc>
              <w:tc>
                <w:tcPr>
                  <w:tcW w:w="2337" w:type="dxa"/>
                </w:tcPr>
                <w:p w14:paraId="588AB230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>Фрагменти виявлення 24 типів гена ВПЛ E6/E7 і ВК</w:t>
                  </w:r>
                </w:p>
              </w:tc>
            </w:tr>
            <w:tr w:rsidR="002F5171" w:rsidRPr="004B0DE2" w14:paraId="43344AA8" w14:textId="77777777" w:rsidTr="002F5171">
              <w:trPr>
                <w:trHeight w:val="465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</w:tcPr>
                <w:p w14:paraId="27E321D5" w14:textId="537BEB8D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4F95A61F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>Негативний контроль (К-) (HPV 24)</w:t>
                  </w:r>
                </w:p>
              </w:tc>
              <w:tc>
                <w:tcPr>
                  <w:tcW w:w="837" w:type="dxa"/>
                  <w:tcBorders>
                    <w:bottom w:val="single" w:sz="4" w:space="0" w:color="auto"/>
                  </w:tcBorders>
                </w:tcPr>
                <w:p w14:paraId="3B12C083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 xml:space="preserve">1 пробірка об’ємом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7</w:t>
                  </w:r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>00 мкл [µl]</w:t>
                  </w:r>
                </w:p>
              </w:tc>
              <w:tc>
                <w:tcPr>
                  <w:tcW w:w="2337" w:type="dxa"/>
                  <w:tcBorders>
                    <w:bottom w:val="single" w:sz="4" w:space="0" w:color="auto"/>
                  </w:tcBorders>
                </w:tcPr>
                <w:p w14:paraId="597045D8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 xml:space="preserve">Фрагменти виявлення β- </w:t>
                  </w:r>
                  <w:proofErr w:type="spellStart"/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>глобінового</w:t>
                  </w:r>
                  <w:proofErr w:type="spellEnd"/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 xml:space="preserve"> гену</w:t>
                  </w:r>
                </w:p>
              </w:tc>
            </w:tr>
            <w:tr w:rsidR="002F5171" w:rsidRPr="004B0DE2" w14:paraId="383215D6" w14:textId="77777777" w:rsidTr="002F5171">
              <w:trPr>
                <w:trHeight w:val="465"/>
                <w:jc w:val="center"/>
              </w:trPr>
              <w:tc>
                <w:tcPr>
                  <w:tcW w:w="1392" w:type="dxa"/>
                  <w:tcBorders>
                    <w:bottom w:val="single" w:sz="4" w:space="0" w:color="auto"/>
                  </w:tcBorders>
                </w:tcPr>
                <w:p w14:paraId="4820EB0B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noProof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uk-UA" w:eastAsia="uk-UA"/>
                    </w:rPr>
                    <w:t>Вода вільна від ДНК</w:t>
                  </w:r>
                </w:p>
              </w:tc>
              <w:tc>
                <w:tcPr>
                  <w:tcW w:w="837" w:type="dxa"/>
                  <w:tcBorders>
                    <w:bottom w:val="single" w:sz="4" w:space="0" w:color="auto"/>
                  </w:tcBorders>
                </w:tcPr>
                <w:p w14:paraId="31E5E0EF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 xml:space="preserve"> пробірк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и</w:t>
                  </w:r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 xml:space="preserve"> об’ємом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1700</w:t>
                  </w:r>
                  <w:r w:rsidRPr="004B0DE2">
                    <w:rPr>
                      <w:rFonts w:ascii="Times New Roman" w:hAnsi="Times New Roman" w:cs="Times New Roman"/>
                      <w:lang w:val="uk-UA"/>
                    </w:rPr>
                    <w:t xml:space="preserve"> мкл [µl]</w:t>
                  </w:r>
                </w:p>
              </w:tc>
              <w:tc>
                <w:tcPr>
                  <w:tcW w:w="2337" w:type="dxa"/>
                  <w:tcBorders>
                    <w:bottom w:val="single" w:sz="4" w:space="0" w:color="auto"/>
                  </w:tcBorders>
                </w:tcPr>
                <w:p w14:paraId="5AF305CB" w14:textId="77777777" w:rsidR="002F5171" w:rsidRPr="004B0DE2" w:rsidRDefault="002F5171" w:rsidP="002F5171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uk-UA" w:eastAsia="uk-UA"/>
                    </w:rPr>
                    <w:t>Вода вільна від ДНК</w:t>
                  </w:r>
                </w:p>
              </w:tc>
            </w:tr>
            <w:tr w:rsidR="002F5171" w:rsidRPr="004B0DE2" w14:paraId="6A14CE67" w14:textId="77777777" w:rsidTr="002F5171">
              <w:trPr>
                <w:trHeight w:val="465"/>
                <w:jc w:val="center"/>
              </w:trPr>
              <w:tc>
                <w:tcPr>
                  <w:tcW w:w="456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CD5880" w14:textId="77777777" w:rsidR="002F5171" w:rsidRDefault="002F5171" w:rsidP="002F5171">
                  <w:pPr>
                    <w:jc w:val="center"/>
                    <w:rPr>
                      <w:rFonts w:ascii="Times New Roman" w:hAnsi="Times New Roman" w:cs="Times New Roman"/>
                      <w:noProof/>
                      <w:lang w:val="uk-UA" w:eastAsia="uk-UA"/>
                    </w:rPr>
                  </w:pPr>
                </w:p>
                <w:p w14:paraId="79E53AFC" w14:textId="7AC9188A" w:rsidR="002F5171" w:rsidRDefault="002F5171" w:rsidP="002F5171">
                  <w:pPr>
                    <w:jc w:val="center"/>
                    <w:rPr>
                      <w:rFonts w:ascii="Times New Roman" w:hAnsi="Times New Roman" w:cs="Times New Roman"/>
                      <w:noProof/>
                      <w:lang w:val="uk-UA" w:eastAsia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uk-UA" w:eastAsia="uk-UA"/>
                    </w:rPr>
                    <w:t>На підтвердження вимог надати інструкцію.</w:t>
                  </w:r>
                </w:p>
              </w:tc>
            </w:tr>
          </w:tbl>
          <w:p w14:paraId="7B11E17F" w14:textId="46A4C15A" w:rsidR="002F5171" w:rsidRPr="00865EC0" w:rsidRDefault="002F5171" w:rsidP="002F51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0BF89BD" w14:textId="77777777" w:rsidR="005F72D0" w:rsidRPr="009120ED" w:rsidRDefault="005F72D0">
      <w:pPr>
        <w:rPr>
          <w:lang w:val="uk-UA"/>
        </w:rPr>
      </w:pPr>
    </w:p>
    <w:sectPr w:rsidR="005F72D0" w:rsidRPr="009120ED" w:rsidSect="00463D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5309"/>
    <w:multiLevelType w:val="hybridMultilevel"/>
    <w:tmpl w:val="F8B4CEA2"/>
    <w:lvl w:ilvl="0" w:tplc="D8444FC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137DD"/>
    <w:multiLevelType w:val="hybridMultilevel"/>
    <w:tmpl w:val="C142AB88"/>
    <w:lvl w:ilvl="0" w:tplc="AC2CAEE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68"/>
    <w:rsid w:val="000039A5"/>
    <w:rsid w:val="000056FE"/>
    <w:rsid w:val="000127D1"/>
    <w:rsid w:val="00014A6E"/>
    <w:rsid w:val="0002586C"/>
    <w:rsid w:val="00027C85"/>
    <w:rsid w:val="00040708"/>
    <w:rsid w:val="000555FF"/>
    <w:rsid w:val="0006275A"/>
    <w:rsid w:val="000627E6"/>
    <w:rsid w:val="00063F18"/>
    <w:rsid w:val="000704E3"/>
    <w:rsid w:val="00073D22"/>
    <w:rsid w:val="000B267A"/>
    <w:rsid w:val="000B2B41"/>
    <w:rsid w:val="000C6C96"/>
    <w:rsid w:val="000C703A"/>
    <w:rsid w:val="000D6190"/>
    <w:rsid w:val="000E2BAD"/>
    <w:rsid w:val="00100122"/>
    <w:rsid w:val="00101BEA"/>
    <w:rsid w:val="0010257F"/>
    <w:rsid w:val="001247AB"/>
    <w:rsid w:val="00167F22"/>
    <w:rsid w:val="00184452"/>
    <w:rsid w:val="001A0725"/>
    <w:rsid w:val="001A5FFB"/>
    <w:rsid w:val="001B2798"/>
    <w:rsid w:val="001C0486"/>
    <w:rsid w:val="001C2C19"/>
    <w:rsid w:val="001D3BC0"/>
    <w:rsid w:val="001D6DF7"/>
    <w:rsid w:val="001E1EB7"/>
    <w:rsid w:val="001F5FC2"/>
    <w:rsid w:val="0021440A"/>
    <w:rsid w:val="002527AA"/>
    <w:rsid w:val="002572C1"/>
    <w:rsid w:val="00260831"/>
    <w:rsid w:val="00264F4C"/>
    <w:rsid w:val="002742AF"/>
    <w:rsid w:val="00274CF0"/>
    <w:rsid w:val="00275961"/>
    <w:rsid w:val="00287ADE"/>
    <w:rsid w:val="00295DDC"/>
    <w:rsid w:val="002B12E0"/>
    <w:rsid w:val="002B6EC9"/>
    <w:rsid w:val="002C05DC"/>
    <w:rsid w:val="002D186F"/>
    <w:rsid w:val="002D451D"/>
    <w:rsid w:val="002E2B67"/>
    <w:rsid w:val="002E6319"/>
    <w:rsid w:val="002F2037"/>
    <w:rsid w:val="002F47EA"/>
    <w:rsid w:val="002F5171"/>
    <w:rsid w:val="002F60A8"/>
    <w:rsid w:val="003355AC"/>
    <w:rsid w:val="00336AFF"/>
    <w:rsid w:val="0033702C"/>
    <w:rsid w:val="00342901"/>
    <w:rsid w:val="00345FC0"/>
    <w:rsid w:val="00347BEF"/>
    <w:rsid w:val="00360E8A"/>
    <w:rsid w:val="003610D0"/>
    <w:rsid w:val="00364262"/>
    <w:rsid w:val="00370D68"/>
    <w:rsid w:val="0037500D"/>
    <w:rsid w:val="00375673"/>
    <w:rsid w:val="00381EEB"/>
    <w:rsid w:val="00391555"/>
    <w:rsid w:val="003917D9"/>
    <w:rsid w:val="00391BBA"/>
    <w:rsid w:val="003A669C"/>
    <w:rsid w:val="003B240C"/>
    <w:rsid w:val="003C333B"/>
    <w:rsid w:val="003E3415"/>
    <w:rsid w:val="003E4E3D"/>
    <w:rsid w:val="003E50EA"/>
    <w:rsid w:val="003F04C6"/>
    <w:rsid w:val="003F0FBF"/>
    <w:rsid w:val="004056A9"/>
    <w:rsid w:val="00410F85"/>
    <w:rsid w:val="0041774C"/>
    <w:rsid w:val="00417E12"/>
    <w:rsid w:val="00420662"/>
    <w:rsid w:val="0043147E"/>
    <w:rsid w:val="00455C08"/>
    <w:rsid w:val="00463A73"/>
    <w:rsid w:val="00463D5A"/>
    <w:rsid w:val="00487244"/>
    <w:rsid w:val="00490DC3"/>
    <w:rsid w:val="00495522"/>
    <w:rsid w:val="004A441B"/>
    <w:rsid w:val="004A4C69"/>
    <w:rsid w:val="004A5E63"/>
    <w:rsid w:val="004A70EB"/>
    <w:rsid w:val="004B11EF"/>
    <w:rsid w:val="004B1B4B"/>
    <w:rsid w:val="004C6D39"/>
    <w:rsid w:val="004C79B3"/>
    <w:rsid w:val="004D1C08"/>
    <w:rsid w:val="004D33CF"/>
    <w:rsid w:val="004F2C6D"/>
    <w:rsid w:val="004F454B"/>
    <w:rsid w:val="004F4793"/>
    <w:rsid w:val="004F7E7E"/>
    <w:rsid w:val="0050576A"/>
    <w:rsid w:val="005068E8"/>
    <w:rsid w:val="00510EF1"/>
    <w:rsid w:val="005244D7"/>
    <w:rsid w:val="00532D4C"/>
    <w:rsid w:val="00550E79"/>
    <w:rsid w:val="005553AB"/>
    <w:rsid w:val="00566BAB"/>
    <w:rsid w:val="005738C0"/>
    <w:rsid w:val="00574DD8"/>
    <w:rsid w:val="00577883"/>
    <w:rsid w:val="00583F47"/>
    <w:rsid w:val="00592A0E"/>
    <w:rsid w:val="005A22DD"/>
    <w:rsid w:val="005B26EF"/>
    <w:rsid w:val="005C0A10"/>
    <w:rsid w:val="005D4430"/>
    <w:rsid w:val="005E517B"/>
    <w:rsid w:val="005F72D0"/>
    <w:rsid w:val="005F7760"/>
    <w:rsid w:val="006046EF"/>
    <w:rsid w:val="0061031F"/>
    <w:rsid w:val="00611BD5"/>
    <w:rsid w:val="0061672D"/>
    <w:rsid w:val="00634F97"/>
    <w:rsid w:val="00637D3B"/>
    <w:rsid w:val="00640332"/>
    <w:rsid w:val="006434D0"/>
    <w:rsid w:val="00643658"/>
    <w:rsid w:val="00652235"/>
    <w:rsid w:val="00665E13"/>
    <w:rsid w:val="00667F19"/>
    <w:rsid w:val="00672B3A"/>
    <w:rsid w:val="00681809"/>
    <w:rsid w:val="00683D91"/>
    <w:rsid w:val="00684103"/>
    <w:rsid w:val="006858DB"/>
    <w:rsid w:val="00696607"/>
    <w:rsid w:val="006A4B56"/>
    <w:rsid w:val="006B6981"/>
    <w:rsid w:val="006C1698"/>
    <w:rsid w:val="006C1B72"/>
    <w:rsid w:val="006C681E"/>
    <w:rsid w:val="006D6596"/>
    <w:rsid w:val="006E20B0"/>
    <w:rsid w:val="006F51A8"/>
    <w:rsid w:val="006F6EE7"/>
    <w:rsid w:val="00726F62"/>
    <w:rsid w:val="00745D61"/>
    <w:rsid w:val="00756588"/>
    <w:rsid w:val="00776270"/>
    <w:rsid w:val="007820BC"/>
    <w:rsid w:val="007A3225"/>
    <w:rsid w:val="007A3836"/>
    <w:rsid w:val="007A383D"/>
    <w:rsid w:val="007A7B0F"/>
    <w:rsid w:val="007B26F9"/>
    <w:rsid w:val="007E589D"/>
    <w:rsid w:val="007F42D7"/>
    <w:rsid w:val="00800D10"/>
    <w:rsid w:val="0080437D"/>
    <w:rsid w:val="008048E4"/>
    <w:rsid w:val="00810820"/>
    <w:rsid w:val="00812EB4"/>
    <w:rsid w:val="0081689C"/>
    <w:rsid w:val="00821B99"/>
    <w:rsid w:val="0083534E"/>
    <w:rsid w:val="00846DFE"/>
    <w:rsid w:val="00853EB5"/>
    <w:rsid w:val="0085481E"/>
    <w:rsid w:val="00865EC0"/>
    <w:rsid w:val="008714CC"/>
    <w:rsid w:val="008837AF"/>
    <w:rsid w:val="008B12F0"/>
    <w:rsid w:val="008D3DEB"/>
    <w:rsid w:val="008D6E88"/>
    <w:rsid w:val="008E3BD7"/>
    <w:rsid w:val="008E516E"/>
    <w:rsid w:val="008F0D0A"/>
    <w:rsid w:val="008F27A8"/>
    <w:rsid w:val="008F535F"/>
    <w:rsid w:val="00907A66"/>
    <w:rsid w:val="009120ED"/>
    <w:rsid w:val="00920ADB"/>
    <w:rsid w:val="00922B9B"/>
    <w:rsid w:val="0092679C"/>
    <w:rsid w:val="00927669"/>
    <w:rsid w:val="00927880"/>
    <w:rsid w:val="009278CD"/>
    <w:rsid w:val="00930C72"/>
    <w:rsid w:val="009337F7"/>
    <w:rsid w:val="00942C22"/>
    <w:rsid w:val="00944903"/>
    <w:rsid w:val="009462AF"/>
    <w:rsid w:val="009509AF"/>
    <w:rsid w:val="00954E25"/>
    <w:rsid w:val="009675B5"/>
    <w:rsid w:val="00971BEA"/>
    <w:rsid w:val="0097317E"/>
    <w:rsid w:val="00973E53"/>
    <w:rsid w:val="00975257"/>
    <w:rsid w:val="00980608"/>
    <w:rsid w:val="00980BE2"/>
    <w:rsid w:val="00985378"/>
    <w:rsid w:val="009930BA"/>
    <w:rsid w:val="00997C85"/>
    <w:rsid w:val="009A70D4"/>
    <w:rsid w:val="009B44D0"/>
    <w:rsid w:val="009B79D7"/>
    <w:rsid w:val="009C7D00"/>
    <w:rsid w:val="009D2CD3"/>
    <w:rsid w:val="009F436F"/>
    <w:rsid w:val="00A1369F"/>
    <w:rsid w:val="00A151B7"/>
    <w:rsid w:val="00A17553"/>
    <w:rsid w:val="00A2310E"/>
    <w:rsid w:val="00A3663E"/>
    <w:rsid w:val="00A50A2B"/>
    <w:rsid w:val="00A53F4C"/>
    <w:rsid w:val="00A547EE"/>
    <w:rsid w:val="00A61D8E"/>
    <w:rsid w:val="00A62E05"/>
    <w:rsid w:val="00A6743B"/>
    <w:rsid w:val="00A7325C"/>
    <w:rsid w:val="00A82EC1"/>
    <w:rsid w:val="00AA0C8C"/>
    <w:rsid w:val="00AB3AA0"/>
    <w:rsid w:val="00AC2946"/>
    <w:rsid w:val="00AC3E15"/>
    <w:rsid w:val="00AC4BF3"/>
    <w:rsid w:val="00AD4EA2"/>
    <w:rsid w:val="00AE18FE"/>
    <w:rsid w:val="00AE1B9E"/>
    <w:rsid w:val="00AE38EA"/>
    <w:rsid w:val="00AE7BC9"/>
    <w:rsid w:val="00B023CB"/>
    <w:rsid w:val="00B10253"/>
    <w:rsid w:val="00B122BB"/>
    <w:rsid w:val="00B15910"/>
    <w:rsid w:val="00B30EA6"/>
    <w:rsid w:val="00B32976"/>
    <w:rsid w:val="00B42EFB"/>
    <w:rsid w:val="00B4351F"/>
    <w:rsid w:val="00B445EA"/>
    <w:rsid w:val="00B5037A"/>
    <w:rsid w:val="00B63A9F"/>
    <w:rsid w:val="00B71744"/>
    <w:rsid w:val="00B719CE"/>
    <w:rsid w:val="00B8085F"/>
    <w:rsid w:val="00B858FC"/>
    <w:rsid w:val="00B86A95"/>
    <w:rsid w:val="00B86CBE"/>
    <w:rsid w:val="00B913F3"/>
    <w:rsid w:val="00BA4AD9"/>
    <w:rsid w:val="00BA7CC9"/>
    <w:rsid w:val="00BB0B84"/>
    <w:rsid w:val="00BB5944"/>
    <w:rsid w:val="00BC1732"/>
    <w:rsid w:val="00BD1514"/>
    <w:rsid w:val="00BE4AE7"/>
    <w:rsid w:val="00BE7D89"/>
    <w:rsid w:val="00BF1304"/>
    <w:rsid w:val="00BF611A"/>
    <w:rsid w:val="00BF6AD4"/>
    <w:rsid w:val="00C069EE"/>
    <w:rsid w:val="00C2212C"/>
    <w:rsid w:val="00C60387"/>
    <w:rsid w:val="00C71C57"/>
    <w:rsid w:val="00C71C79"/>
    <w:rsid w:val="00C74E1B"/>
    <w:rsid w:val="00C75059"/>
    <w:rsid w:val="00C76531"/>
    <w:rsid w:val="00C901A5"/>
    <w:rsid w:val="00C91124"/>
    <w:rsid w:val="00C94BE1"/>
    <w:rsid w:val="00CA3436"/>
    <w:rsid w:val="00CA5445"/>
    <w:rsid w:val="00CB3D79"/>
    <w:rsid w:val="00CF0C0B"/>
    <w:rsid w:val="00CF48EB"/>
    <w:rsid w:val="00D006B4"/>
    <w:rsid w:val="00D033C3"/>
    <w:rsid w:val="00D05E74"/>
    <w:rsid w:val="00D10D8A"/>
    <w:rsid w:val="00D12828"/>
    <w:rsid w:val="00D17C10"/>
    <w:rsid w:val="00D216C4"/>
    <w:rsid w:val="00D253F4"/>
    <w:rsid w:val="00D32685"/>
    <w:rsid w:val="00D35F0B"/>
    <w:rsid w:val="00D650E7"/>
    <w:rsid w:val="00D7362F"/>
    <w:rsid w:val="00D7659B"/>
    <w:rsid w:val="00D90CC8"/>
    <w:rsid w:val="00D93E2A"/>
    <w:rsid w:val="00D96801"/>
    <w:rsid w:val="00DC15DE"/>
    <w:rsid w:val="00DD2926"/>
    <w:rsid w:val="00DE2F3D"/>
    <w:rsid w:val="00E07D39"/>
    <w:rsid w:val="00E07DB3"/>
    <w:rsid w:val="00E10813"/>
    <w:rsid w:val="00E10C25"/>
    <w:rsid w:val="00E20BA8"/>
    <w:rsid w:val="00E2488D"/>
    <w:rsid w:val="00E332EA"/>
    <w:rsid w:val="00E33B37"/>
    <w:rsid w:val="00E42A6A"/>
    <w:rsid w:val="00E5180A"/>
    <w:rsid w:val="00E5785C"/>
    <w:rsid w:val="00E61858"/>
    <w:rsid w:val="00E76CBF"/>
    <w:rsid w:val="00E815CC"/>
    <w:rsid w:val="00E93645"/>
    <w:rsid w:val="00EA35A2"/>
    <w:rsid w:val="00EA5331"/>
    <w:rsid w:val="00EB322A"/>
    <w:rsid w:val="00EB6CBB"/>
    <w:rsid w:val="00EE57DA"/>
    <w:rsid w:val="00EF4B1A"/>
    <w:rsid w:val="00EF591C"/>
    <w:rsid w:val="00F017F6"/>
    <w:rsid w:val="00F065A2"/>
    <w:rsid w:val="00F2162A"/>
    <w:rsid w:val="00F427FD"/>
    <w:rsid w:val="00F45482"/>
    <w:rsid w:val="00F47C6D"/>
    <w:rsid w:val="00F51067"/>
    <w:rsid w:val="00F5260E"/>
    <w:rsid w:val="00F54580"/>
    <w:rsid w:val="00F6195B"/>
    <w:rsid w:val="00F851E3"/>
    <w:rsid w:val="00F93CFE"/>
    <w:rsid w:val="00FA1E81"/>
    <w:rsid w:val="00FA301E"/>
    <w:rsid w:val="00FA5DAC"/>
    <w:rsid w:val="00FB2F34"/>
    <w:rsid w:val="00FB3402"/>
    <w:rsid w:val="00FB55C1"/>
    <w:rsid w:val="00FB5DCF"/>
    <w:rsid w:val="00FD1452"/>
    <w:rsid w:val="00FD1998"/>
    <w:rsid w:val="00FD3F1E"/>
    <w:rsid w:val="00FD6913"/>
    <w:rsid w:val="00FE3F62"/>
    <w:rsid w:val="00FE7188"/>
    <w:rsid w:val="00FE7868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5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267A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character" w:customStyle="1" w:styleId="a4">
    <w:name w:val="Без интервала Знак"/>
    <w:link w:val="a3"/>
    <w:rsid w:val="000B267A"/>
    <w:rPr>
      <w:rFonts w:ascii="Calibri" w:eastAsia="Calibri" w:hAnsi="Calibri" w:cs="Times New Roman"/>
      <w:lang w:val="uk-UA"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F6195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195B"/>
    <w:rPr>
      <w:rFonts w:ascii="Consolas" w:hAnsi="Consolas" w:cs="Consolas"/>
      <w:sz w:val="20"/>
      <w:szCs w:val="20"/>
    </w:rPr>
  </w:style>
  <w:style w:type="character" w:customStyle="1" w:styleId="2">
    <w:name w:val="Основной текст (2)_"/>
    <w:link w:val="20"/>
    <w:rsid w:val="003B240C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40C"/>
    <w:pPr>
      <w:widowControl w:val="0"/>
      <w:shd w:val="clear" w:color="auto" w:fill="FFFFFF"/>
      <w:spacing w:after="0" w:line="0" w:lineRule="atLeast"/>
      <w:ind w:hanging="860"/>
    </w:pPr>
    <w:rPr>
      <w:rFonts w:ascii="Verdana" w:eastAsia="Verdana" w:hAnsi="Verdana" w:cs="Verdana"/>
      <w:sz w:val="18"/>
      <w:szCs w:val="18"/>
    </w:rPr>
  </w:style>
  <w:style w:type="character" w:styleId="a5">
    <w:name w:val="Strong"/>
    <w:basedOn w:val="a0"/>
    <w:uiPriority w:val="22"/>
    <w:qFormat/>
    <w:rsid w:val="003B240C"/>
    <w:rPr>
      <w:b/>
      <w:bCs/>
    </w:rPr>
  </w:style>
  <w:style w:type="character" w:customStyle="1" w:styleId="fontstyle01">
    <w:name w:val="fontstyle01"/>
    <w:basedOn w:val="a0"/>
    <w:rsid w:val="0042066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1">
    <w:name w:val="Сітка таблиці1"/>
    <w:basedOn w:val="a1"/>
    <w:next w:val="a6"/>
    <w:uiPriority w:val="39"/>
    <w:qFormat/>
    <w:rsid w:val="002F517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2F5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4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267A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character" w:customStyle="1" w:styleId="a4">
    <w:name w:val="Без интервала Знак"/>
    <w:link w:val="a3"/>
    <w:rsid w:val="000B267A"/>
    <w:rPr>
      <w:rFonts w:ascii="Calibri" w:eastAsia="Calibri" w:hAnsi="Calibri" w:cs="Times New Roman"/>
      <w:lang w:val="uk-UA"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F6195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195B"/>
    <w:rPr>
      <w:rFonts w:ascii="Consolas" w:hAnsi="Consolas" w:cs="Consolas"/>
      <w:sz w:val="20"/>
      <w:szCs w:val="20"/>
    </w:rPr>
  </w:style>
  <w:style w:type="character" w:customStyle="1" w:styleId="2">
    <w:name w:val="Основной текст (2)_"/>
    <w:link w:val="20"/>
    <w:rsid w:val="003B240C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40C"/>
    <w:pPr>
      <w:widowControl w:val="0"/>
      <w:shd w:val="clear" w:color="auto" w:fill="FFFFFF"/>
      <w:spacing w:after="0" w:line="0" w:lineRule="atLeast"/>
      <w:ind w:hanging="860"/>
    </w:pPr>
    <w:rPr>
      <w:rFonts w:ascii="Verdana" w:eastAsia="Verdana" w:hAnsi="Verdana" w:cs="Verdana"/>
      <w:sz w:val="18"/>
      <w:szCs w:val="18"/>
    </w:rPr>
  </w:style>
  <w:style w:type="character" w:styleId="a5">
    <w:name w:val="Strong"/>
    <w:basedOn w:val="a0"/>
    <w:uiPriority w:val="22"/>
    <w:qFormat/>
    <w:rsid w:val="003B240C"/>
    <w:rPr>
      <w:b/>
      <w:bCs/>
    </w:rPr>
  </w:style>
  <w:style w:type="character" w:customStyle="1" w:styleId="fontstyle01">
    <w:name w:val="fontstyle01"/>
    <w:basedOn w:val="a0"/>
    <w:rsid w:val="0042066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1">
    <w:name w:val="Сітка таблиці1"/>
    <w:basedOn w:val="a1"/>
    <w:next w:val="a6"/>
    <w:uiPriority w:val="39"/>
    <w:qFormat/>
    <w:rsid w:val="002F517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2F5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8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59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9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451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408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678">
          <w:marLeft w:val="0"/>
          <w:marRight w:val="1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340">
          <w:marLeft w:val="0"/>
          <w:marRight w:val="1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753">
          <w:marLeft w:val="0"/>
          <w:marRight w:val="1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n.at.ua/load/19-1-0-273" TargetMode="External"/><Relationship Id="rId3" Type="http://schemas.openxmlformats.org/officeDocument/2006/relationships/styles" Target="styles.xml"/><Relationship Id="rId7" Type="http://schemas.openxmlformats.org/officeDocument/2006/relationships/hyperlink" Target="http://dbn.at.ua/load/19-1-0-27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bn.at.ua/load/pro_povitrja/20-1-0-9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bn.at.ua/load/19-1-0-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D043-89EA-412B-837B-2BCF050B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10874</Words>
  <Characters>6199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PC-2</cp:lastModifiedBy>
  <cp:revision>210</cp:revision>
  <dcterms:created xsi:type="dcterms:W3CDTF">2022-12-20T10:16:00Z</dcterms:created>
  <dcterms:modified xsi:type="dcterms:W3CDTF">2024-03-14T13:21:00Z</dcterms:modified>
</cp:coreProperties>
</file>