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8" w:rsidRPr="00173DA6" w:rsidRDefault="00507D08" w:rsidP="00507D08">
      <w:pPr>
        <w:pStyle w:val="1"/>
        <w:ind w:firstLine="567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 xml:space="preserve">Оголошення про проведення спрощеної закупівлі через систему електронних </w:t>
      </w:r>
      <w:proofErr w:type="spellStart"/>
      <w:r w:rsidRPr="00857319">
        <w:rPr>
          <w:b/>
          <w:color w:val="auto"/>
          <w:sz w:val="24"/>
          <w:szCs w:val="24"/>
          <w:lang w:val="uk-UA"/>
        </w:rPr>
        <w:t>закупівель</w:t>
      </w:r>
      <w:proofErr w:type="spellEnd"/>
      <w:r w:rsidRPr="00857319">
        <w:rPr>
          <w:b/>
          <w:color w:val="auto"/>
          <w:sz w:val="24"/>
          <w:szCs w:val="24"/>
          <w:lang w:val="uk-UA"/>
        </w:rPr>
        <w:t xml:space="preserve"> (</w:t>
      </w:r>
      <w:bookmarkStart w:id="0" w:name="_GoBack"/>
      <w:r w:rsidR="00173DA6" w:rsidRPr="00173DA6">
        <w:rPr>
          <w:b/>
          <w:color w:val="auto"/>
          <w:sz w:val="24"/>
          <w:szCs w:val="24"/>
          <w:shd w:val="clear" w:color="auto" w:fill="FDFEFD"/>
        </w:rPr>
        <w:t>UA-P-2022-11-03-002053-a</w:t>
      </w:r>
      <w:r w:rsidRPr="00173DA6">
        <w:rPr>
          <w:b/>
          <w:color w:val="auto"/>
          <w:sz w:val="24"/>
          <w:szCs w:val="24"/>
          <w:lang w:val="uk-UA"/>
        </w:rPr>
        <w:t>)</w:t>
      </w:r>
    </w:p>
    <w:bookmarkEnd w:id="0"/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Національна школа  суддів  України  </w:t>
      </w:r>
      <w:r>
        <w:rPr>
          <w:rFonts w:ascii="Times New Roman" w:eastAsia="Times New Roman" w:hAnsi="Times New Roman" w:cs="Times New Roman"/>
          <w:b/>
          <w:lang w:val="uk-UA"/>
        </w:rPr>
        <w:t>37451388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ДК 021:2015  50110000-9 – послуги з ремонту і технічного обслуговування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 (послуги з поточного ремонту автомобілів).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наведенні в додатку 1 до оголошення про проведення спрощеної закупівлі.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та місце поставки товарів або обсяг і місце виконання робіт чи надання послуг: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 послуга, СТО переможця, м. Київ.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дати </w:t>
      </w:r>
      <w:r w:rsidR="00E46B31">
        <w:rPr>
          <w:rFonts w:ascii="Times New Roman" w:hAnsi="Times New Roman" w:cs="Times New Roman"/>
          <w:b/>
          <w:sz w:val="24"/>
          <w:szCs w:val="24"/>
          <w:lang w:val="uk-UA"/>
        </w:rPr>
        <w:t>укладання договору до 31.12.202</w:t>
      </w:r>
      <w:r w:rsidR="00617A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Умови оплати: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оплата проводиться після пред’явлення Виконавцем рахунку на оплату акта виконаних робіт, але не пізніше ніж через 7 днів з дня наданих послугах Замовнику. Оплата послуг здійснюється Замовником в національній валюті України в безготівковій формі, шляхом перерахування коштів на рахунок Виконавця.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Фінансування здійснюється за кошти місцевого (обласного) бюджету.</w:t>
      </w:r>
    </w:p>
    <w:p w:rsidR="00507D08" w:rsidRPr="00B61F1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</w:t>
      </w:r>
      <w:r w:rsidRPr="00B61F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>19 1</w:t>
      </w:r>
      <w:r w:rsidR="00AF1D22" w:rsidRPr="00B61F18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62430D" w:rsidRPr="00B61F18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proofErr w:type="spellStart"/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>дев</w:t>
      </w:r>
      <w:proofErr w:type="spellEnd"/>
      <w:r w:rsidR="00B61F18" w:rsidRPr="00B61F18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>ятнадцять</w:t>
      </w:r>
      <w:proofErr w:type="spellEnd"/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2316"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430D" w:rsidRPr="00B61F18">
        <w:rPr>
          <w:rFonts w:ascii="Times New Roman" w:hAnsi="Times New Roman" w:cs="Times New Roman"/>
          <w:b/>
          <w:sz w:val="24"/>
          <w:szCs w:val="24"/>
          <w:lang w:val="uk-UA"/>
        </w:rPr>
        <w:t>тисяча</w:t>
      </w:r>
      <w:r w:rsidR="00D312C6"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 </w:t>
      </w:r>
      <w:r w:rsidRPr="00B61F18">
        <w:rPr>
          <w:rFonts w:ascii="Times New Roman" w:hAnsi="Times New Roman" w:cs="Times New Roman"/>
          <w:b/>
          <w:sz w:val="24"/>
          <w:szCs w:val="24"/>
          <w:lang w:val="uk-UA"/>
        </w:rPr>
        <w:t>гривень 00 коп. )  з ПДВ.</w:t>
      </w:r>
    </w:p>
    <w:p w:rsidR="00507D08" w:rsidRPr="00B61F1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146">
        <w:rPr>
          <w:rFonts w:ascii="Times New Roman" w:hAnsi="Times New Roman" w:cs="Times New Roman"/>
          <w:sz w:val="24"/>
          <w:szCs w:val="24"/>
          <w:lang w:val="uk-UA"/>
        </w:rPr>
        <w:t xml:space="preserve"> Період уточнення інформації про закупівлю: </w:t>
      </w:r>
      <w:r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>09.11.2022</w:t>
      </w:r>
      <w:r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18-00 год.</w:t>
      </w:r>
    </w:p>
    <w:p w:rsidR="00507D08" w:rsidRPr="00B61F1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F18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пропозицій: </w:t>
      </w:r>
      <w:r w:rsidR="00E70D2B"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B61F18" w:rsidRPr="00B61F18">
        <w:rPr>
          <w:rFonts w:ascii="Times New Roman" w:hAnsi="Times New Roman" w:cs="Times New Roman"/>
          <w:b/>
          <w:sz w:val="24"/>
          <w:szCs w:val="24"/>
          <w:lang w:val="uk-UA"/>
        </w:rPr>
        <w:t>14.11.2022</w:t>
      </w:r>
      <w:r w:rsidRPr="00B61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18-00 год. 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ціна.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пропозицій учасників: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507D08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виконання договору про закупівлю: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507D08" w:rsidRPr="0090292D" w:rsidRDefault="00507D08" w:rsidP="00507D08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90292D" w:rsidRPr="0090292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CB6146" w:rsidRPr="0090292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90292D" w:rsidRPr="0090292D">
        <w:rPr>
          <w:rFonts w:ascii="Times New Roman" w:hAnsi="Times New Roman" w:cs="Times New Roman"/>
          <w:b/>
          <w:sz w:val="24"/>
          <w:szCs w:val="24"/>
          <w:lang w:val="uk-UA"/>
        </w:rPr>
        <w:t>,5</w:t>
      </w:r>
      <w:r w:rsidR="002677EC" w:rsidRPr="0090292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9029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507D08" w:rsidRDefault="00507D08" w:rsidP="00507D0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на відповідність вимогам Замовника, які подає учасник у складі пропозиції через систему електронних закупівель: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документи, що підтверджують відповідність вимогам до кваліфікації учасників в додатку 2</w:t>
      </w:r>
      <w:r>
        <w:rPr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 про проведення спрощеної закупівлі.</w:t>
      </w:r>
    </w:p>
    <w:p w:rsidR="00507D08" w:rsidRDefault="00507D08" w:rsidP="00507D0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особи замовника, уповноважена здійснювати зв’язок з учасниками: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Денисенко Юлія Володимирівна,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.. +044 597 09 36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prozoro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35@ukr.net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7D08" w:rsidRDefault="00507D08" w:rsidP="00507D08">
      <w:pPr>
        <w:pStyle w:val="1"/>
        <w:ind w:firstLine="567"/>
        <w:jc w:val="both"/>
        <w:rPr>
          <w:b/>
          <w:color w:val="auto"/>
          <w:sz w:val="24"/>
          <w:szCs w:val="24"/>
          <w:lang w:val="uk-UA"/>
        </w:rPr>
      </w:pPr>
    </w:p>
    <w:p w:rsidR="00507D08" w:rsidRDefault="00507D08" w:rsidP="00507D08">
      <w:p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br w:type="page"/>
      </w:r>
    </w:p>
    <w:p w:rsidR="00507D08" w:rsidRDefault="00507D08" w:rsidP="00507D08">
      <w:pPr>
        <w:rPr>
          <w:color w:val="FF0000"/>
          <w:sz w:val="24"/>
          <w:szCs w:val="24"/>
          <w:lang w:val="uk-UA"/>
        </w:rPr>
      </w:pPr>
    </w:p>
    <w:p w:rsidR="00507D08" w:rsidRDefault="00507D08" w:rsidP="00507D08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507D08" w:rsidRDefault="00507D08" w:rsidP="00507D08">
      <w:pPr>
        <w:pStyle w:val="1"/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50110000-9 – послуги з ремонту і технічного обслуговування </w:t>
      </w:r>
      <w:proofErr w:type="spellStart"/>
      <w:r>
        <w:rPr>
          <w:color w:val="auto"/>
          <w:sz w:val="24"/>
          <w:szCs w:val="24"/>
          <w:lang w:val="uk-UA"/>
        </w:rPr>
        <w:t>мототранспортних</w:t>
      </w:r>
      <w:proofErr w:type="spellEnd"/>
      <w:r>
        <w:rPr>
          <w:color w:val="auto"/>
          <w:sz w:val="24"/>
          <w:szCs w:val="24"/>
          <w:lang w:val="uk-UA"/>
        </w:rPr>
        <w:t xml:space="preserve"> засобів і супутнього обладнання (послуги з поточного ремонту автомобілів)</w:t>
      </w:r>
    </w:p>
    <w:p w:rsidR="00507D08" w:rsidRDefault="00507D08" w:rsidP="00507D08">
      <w:pPr>
        <w:pStyle w:val="a4"/>
        <w:spacing w:after="0" w:line="240" w:lineRule="auto"/>
        <w:ind w:left="0" w:right="-1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71FD6" w:rsidRPr="00B61F18" w:rsidRDefault="00E60B32" w:rsidP="00C71FD6">
      <w:pPr>
        <w:ind w:right="-1"/>
        <w:rPr>
          <w:b/>
          <w:color w:val="auto"/>
        </w:rPr>
      </w:pPr>
      <w:r w:rsidRPr="00E60B32">
        <w:rPr>
          <w:b/>
          <w:color w:val="auto"/>
          <w:sz w:val="24"/>
          <w:szCs w:val="24"/>
          <w:lang w:val="en-US"/>
        </w:rPr>
        <w:t>Toy</w:t>
      </w:r>
      <w:r w:rsidR="00873145">
        <w:rPr>
          <w:b/>
          <w:color w:val="auto"/>
          <w:sz w:val="24"/>
          <w:szCs w:val="24"/>
          <w:lang w:val="en-US"/>
        </w:rPr>
        <w:t>o</w:t>
      </w:r>
      <w:r w:rsidRPr="00E60B32">
        <w:rPr>
          <w:b/>
          <w:color w:val="auto"/>
          <w:sz w:val="24"/>
          <w:szCs w:val="24"/>
          <w:lang w:val="en-US"/>
        </w:rPr>
        <w:t>ta</w:t>
      </w:r>
      <w:r w:rsidR="00D312C6">
        <w:rPr>
          <w:b/>
          <w:color w:val="auto"/>
          <w:sz w:val="24"/>
          <w:szCs w:val="24"/>
          <w:lang w:val="uk-UA"/>
        </w:rPr>
        <w:t xml:space="preserve"> </w:t>
      </w:r>
      <w:r w:rsidR="00D312C6" w:rsidRPr="00D312C6">
        <w:rPr>
          <w:b/>
          <w:color w:val="auto"/>
          <w:sz w:val="24"/>
          <w:szCs w:val="24"/>
          <w:lang w:val="en-US" w:eastAsia="uk-UA"/>
        </w:rPr>
        <w:t>CAMRY</w:t>
      </w:r>
      <w:r w:rsidR="00507D08" w:rsidRPr="00E60B32">
        <w:rPr>
          <w:b/>
          <w:color w:val="auto"/>
          <w:sz w:val="24"/>
          <w:szCs w:val="24"/>
          <w:lang w:val="uk-UA"/>
        </w:rPr>
        <w:t xml:space="preserve"> державний реєстраційний </w:t>
      </w:r>
      <w:r w:rsidR="00507D08" w:rsidRPr="0062430D">
        <w:rPr>
          <w:b/>
          <w:color w:val="auto"/>
          <w:sz w:val="24"/>
          <w:szCs w:val="24"/>
          <w:lang w:val="uk-UA"/>
        </w:rPr>
        <w:t xml:space="preserve">номер </w:t>
      </w:r>
      <w:r w:rsidRPr="00203B01">
        <w:rPr>
          <w:b/>
          <w:color w:val="auto"/>
          <w:sz w:val="24"/>
          <w:szCs w:val="24"/>
          <w:lang w:val="uk-UA"/>
        </w:rPr>
        <w:t>АА</w:t>
      </w:r>
      <w:r w:rsidR="00B61F18">
        <w:rPr>
          <w:b/>
          <w:color w:val="auto"/>
          <w:sz w:val="24"/>
          <w:szCs w:val="24"/>
          <w:lang w:val="uk-UA"/>
        </w:rPr>
        <w:t xml:space="preserve"> </w:t>
      </w:r>
      <w:r w:rsidR="00617A40" w:rsidRPr="00617A40">
        <w:rPr>
          <w:b/>
          <w:color w:val="auto"/>
          <w:sz w:val="24"/>
          <w:szCs w:val="24"/>
          <w:lang w:val="uk-UA"/>
        </w:rPr>
        <w:t>3200</w:t>
      </w:r>
      <w:r w:rsidR="00617A40">
        <w:rPr>
          <w:b/>
          <w:color w:val="auto"/>
          <w:sz w:val="24"/>
          <w:szCs w:val="24"/>
          <w:lang w:val="uk-UA"/>
        </w:rPr>
        <w:t xml:space="preserve"> ХА</w:t>
      </w:r>
      <w:r w:rsidR="00B60EE8">
        <w:rPr>
          <w:b/>
          <w:color w:val="auto"/>
          <w:sz w:val="24"/>
          <w:szCs w:val="24"/>
          <w:lang w:val="uk-UA"/>
        </w:rPr>
        <w:t xml:space="preserve"> </w:t>
      </w:r>
      <w:r w:rsidR="00507D08" w:rsidRPr="00203B01">
        <w:rPr>
          <w:b/>
          <w:color w:val="auto"/>
          <w:sz w:val="24"/>
          <w:szCs w:val="24"/>
          <w:lang w:val="uk-UA"/>
        </w:rPr>
        <w:t>20</w:t>
      </w:r>
      <w:r w:rsidRPr="00203B01">
        <w:rPr>
          <w:b/>
          <w:color w:val="auto"/>
          <w:sz w:val="24"/>
          <w:szCs w:val="24"/>
          <w:lang w:val="uk-UA"/>
        </w:rPr>
        <w:t>18</w:t>
      </w:r>
      <w:r w:rsidR="00507D08" w:rsidRPr="00203B01">
        <w:rPr>
          <w:b/>
          <w:color w:val="auto"/>
          <w:sz w:val="24"/>
          <w:szCs w:val="24"/>
          <w:lang w:val="uk-UA"/>
        </w:rPr>
        <w:t xml:space="preserve"> року випуску</w:t>
      </w:r>
      <w:r w:rsidR="0062430D" w:rsidRPr="00203B01">
        <w:rPr>
          <w:b/>
          <w:color w:val="auto"/>
          <w:sz w:val="24"/>
          <w:szCs w:val="24"/>
          <w:lang w:val="uk-UA"/>
        </w:rPr>
        <w:t xml:space="preserve"> </w:t>
      </w:r>
      <w:r w:rsidR="00B61F18">
        <w:rPr>
          <w:b/>
          <w:color w:val="auto"/>
          <w:sz w:val="24"/>
          <w:szCs w:val="24"/>
          <w:lang w:val="uk-UA"/>
        </w:rPr>
        <w:t xml:space="preserve">                   </w:t>
      </w:r>
      <w:r w:rsidR="00C71FD6" w:rsidRPr="00203B01">
        <w:rPr>
          <w:b/>
          <w:color w:val="auto"/>
          <w:lang w:val="uk-UA"/>
        </w:rPr>
        <w:t xml:space="preserve">ТО </w:t>
      </w:r>
      <w:r w:rsidR="00B60EE8">
        <w:rPr>
          <w:b/>
          <w:color w:val="auto"/>
          <w:lang w:val="uk-UA"/>
        </w:rPr>
        <w:t>90</w:t>
      </w:r>
      <w:r w:rsidR="00C71FD6" w:rsidRPr="00203B01">
        <w:rPr>
          <w:b/>
          <w:color w:val="auto"/>
          <w:lang w:val="uk-UA"/>
        </w:rPr>
        <w:t>,000 км.</w:t>
      </w:r>
      <w:r w:rsidR="00C71FD6">
        <w:rPr>
          <w:b/>
          <w:color w:val="auto"/>
          <w:lang w:val="uk-UA"/>
        </w:rPr>
        <w:t xml:space="preserve">  </w:t>
      </w:r>
    </w:p>
    <w:p w:rsidR="00EA5CD8" w:rsidRDefault="00EA5CD8" w:rsidP="00C71FD6">
      <w:pPr>
        <w:ind w:right="-1"/>
        <w:rPr>
          <w:b/>
          <w:color w:val="auto"/>
          <w:sz w:val="24"/>
          <w:szCs w:val="24"/>
          <w:lang w:val="uk-UA"/>
        </w:rPr>
      </w:pPr>
    </w:p>
    <w:p w:rsidR="0062430D" w:rsidRPr="0062430D" w:rsidRDefault="0062430D" w:rsidP="00507D08">
      <w:pPr>
        <w:ind w:right="-1"/>
        <w:rPr>
          <w:b/>
          <w:color w:val="auto"/>
          <w:sz w:val="24"/>
          <w:szCs w:val="24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20"/>
        <w:gridCol w:w="7680"/>
        <w:gridCol w:w="1247"/>
      </w:tblGrid>
      <w:tr w:rsidR="00507D08" w:rsidTr="00C71FD6">
        <w:trPr>
          <w:trHeight w:val="49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8" w:rsidRDefault="00507D0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8" w:rsidRDefault="00507D08">
            <w:pPr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08" w:rsidRDefault="00507D0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507D08" w:rsidTr="00C71FD6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8" w:rsidRDefault="00507D08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8" w:rsidRDefault="00507D08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08" w:rsidRDefault="00507D08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4543E3" w:rsidRPr="004543E3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D08" w:rsidRPr="00350390" w:rsidRDefault="00507D0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D08" w:rsidRPr="00350390" w:rsidRDefault="00507D0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350390">
              <w:rPr>
                <w:color w:val="auto"/>
                <w:sz w:val="24"/>
                <w:szCs w:val="24"/>
                <w:lang w:val="uk-UA" w:eastAsia="uk-UA"/>
              </w:rPr>
              <w:t>Послуги з технічного обслуговування автомобіля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91B" w:rsidRPr="00350390" w:rsidRDefault="004772E4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35039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CD8" w:rsidRPr="00B61F18" w:rsidRDefault="00AF1D22" w:rsidP="004772E4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Зняття, встановлення  захисту двигуна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91B" w:rsidRPr="00F10298" w:rsidRDefault="0066791B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350390" w:rsidRDefault="0050693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350390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Зняття, встановлення   АКЗП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F10298" w:rsidRDefault="0050693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350390" w:rsidRDefault="00C71FD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3</w:t>
            </w:r>
            <w:r w:rsidR="00506938" w:rsidRPr="00350390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Зняття, встановлення   свічки запалювання (усі)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F10298" w:rsidRDefault="0050693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350390" w:rsidRDefault="00C71FD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4</w:t>
            </w:r>
            <w:r w:rsidR="00506938" w:rsidRPr="00350390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B61F18" w:rsidRDefault="00506938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Фільтр повітряний – зняття/встановлення або заміна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938" w:rsidRPr="00F10298" w:rsidRDefault="0050693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BC" w:rsidRPr="00350390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BC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Зняття, встановлення    фільтра </w:t>
            </w:r>
            <w:proofErr w:type="spellStart"/>
            <w:r w:rsidRPr="00B61F18">
              <w:rPr>
                <w:color w:val="auto"/>
                <w:sz w:val="24"/>
                <w:szCs w:val="24"/>
                <w:lang w:val="uk-UA" w:eastAsia="uk-UA"/>
              </w:rPr>
              <w:t>салона</w:t>
            </w:r>
            <w:proofErr w:type="spellEnd"/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B61F18">
              <w:rPr>
                <w:color w:val="auto"/>
                <w:sz w:val="24"/>
                <w:szCs w:val="24"/>
                <w:lang w:val="uk-UA" w:eastAsia="uk-UA"/>
              </w:rPr>
              <w:t>інпекція</w:t>
            </w:r>
            <w:proofErr w:type="spellEnd"/>
            <w:r w:rsidRPr="00B61F18">
              <w:rPr>
                <w:color w:val="auto"/>
                <w:sz w:val="24"/>
                <w:szCs w:val="24"/>
                <w:lang w:val="uk-UA" w:eastAsia="uk-UA"/>
              </w:rPr>
              <w:t>/заміна)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BC" w:rsidRPr="00F10298" w:rsidRDefault="009632BC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Заміна оливи двигуна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F10298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Заміна рідини автоматичної коробки передач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F10298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Заміна рідини в гальмівній системі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F10298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F1029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B61F18" w:rsidRDefault="00AF1D22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Огляд автомобіля при виконанні ТО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D22" w:rsidRPr="00F10298" w:rsidRDefault="00AF1D2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Технологічна мийка (без протирання)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62430D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Діагностичні данні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C50AD0" w:rsidRPr="00C50AD0" w:rsidTr="00C71FD6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D08" w:rsidRPr="00C50AD0" w:rsidRDefault="00507D08">
            <w:pPr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C50AD0">
              <w:rPr>
                <w:color w:val="FF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D08" w:rsidRPr="004772E4" w:rsidRDefault="00507D08" w:rsidP="00C71FD6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</w:tbl>
    <w:p w:rsidR="00507D08" w:rsidRPr="00C50AD0" w:rsidRDefault="00507D08" w:rsidP="00507D08">
      <w:pPr>
        <w:rPr>
          <w:color w:val="FF0000"/>
          <w:sz w:val="24"/>
          <w:szCs w:val="24"/>
          <w:lang w:val="uk-UA"/>
        </w:rPr>
      </w:pPr>
    </w:p>
    <w:p w:rsidR="00507D08" w:rsidRPr="004543E3" w:rsidRDefault="00507D08" w:rsidP="00C71FD6">
      <w:pPr>
        <w:ind w:right="-1"/>
        <w:jc w:val="both"/>
        <w:rPr>
          <w:color w:val="FF0000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Ремонт авто – </w:t>
      </w:r>
      <w:r w:rsidR="00E60B32" w:rsidRPr="00E60B32">
        <w:rPr>
          <w:b/>
          <w:color w:val="auto"/>
          <w:sz w:val="24"/>
          <w:szCs w:val="24"/>
          <w:lang w:val="en-US"/>
        </w:rPr>
        <w:t>Toy</w:t>
      </w:r>
      <w:r w:rsidR="00873145">
        <w:rPr>
          <w:b/>
          <w:color w:val="auto"/>
          <w:sz w:val="24"/>
          <w:szCs w:val="24"/>
          <w:lang w:val="en-US"/>
        </w:rPr>
        <w:t>o</w:t>
      </w:r>
      <w:r w:rsidR="00E60B32" w:rsidRPr="00E60B32">
        <w:rPr>
          <w:b/>
          <w:color w:val="auto"/>
          <w:sz w:val="24"/>
          <w:szCs w:val="24"/>
          <w:lang w:val="en-US"/>
        </w:rPr>
        <w:t>ta</w:t>
      </w:r>
      <w:r w:rsidR="00E60B32" w:rsidRPr="00E60B32">
        <w:rPr>
          <w:b/>
          <w:color w:val="auto"/>
          <w:sz w:val="24"/>
          <w:szCs w:val="24"/>
          <w:lang w:val="uk-UA"/>
        </w:rPr>
        <w:t xml:space="preserve"> </w:t>
      </w:r>
      <w:r w:rsidR="00D312C6" w:rsidRPr="00D312C6">
        <w:rPr>
          <w:b/>
          <w:color w:val="auto"/>
          <w:sz w:val="24"/>
          <w:szCs w:val="24"/>
          <w:lang w:val="en-US" w:eastAsia="uk-UA"/>
        </w:rPr>
        <w:t>CAMRY</w:t>
      </w:r>
      <w:r w:rsidR="00D312C6" w:rsidRPr="00E60B32">
        <w:rPr>
          <w:b/>
          <w:color w:val="auto"/>
          <w:sz w:val="24"/>
          <w:szCs w:val="24"/>
          <w:lang w:val="uk-UA"/>
        </w:rPr>
        <w:t xml:space="preserve"> </w:t>
      </w:r>
      <w:r w:rsidR="00E60B32" w:rsidRPr="00E60B32">
        <w:rPr>
          <w:b/>
          <w:color w:val="auto"/>
          <w:sz w:val="24"/>
          <w:szCs w:val="24"/>
          <w:lang w:val="uk-UA"/>
        </w:rPr>
        <w:t xml:space="preserve">державний реєстраційний номер </w:t>
      </w:r>
      <w:r w:rsidR="00C71FD6" w:rsidRPr="00203B01">
        <w:rPr>
          <w:b/>
          <w:color w:val="auto"/>
          <w:sz w:val="24"/>
          <w:szCs w:val="24"/>
          <w:lang w:val="uk-UA"/>
        </w:rPr>
        <w:t>АА</w:t>
      </w:r>
      <w:r w:rsidR="0090292D">
        <w:rPr>
          <w:b/>
          <w:color w:val="auto"/>
          <w:sz w:val="24"/>
          <w:szCs w:val="24"/>
          <w:lang w:val="uk-UA"/>
        </w:rPr>
        <w:t xml:space="preserve"> </w:t>
      </w:r>
      <w:r w:rsidR="00C71FD6">
        <w:rPr>
          <w:b/>
          <w:color w:val="auto"/>
          <w:sz w:val="24"/>
          <w:szCs w:val="24"/>
          <w:lang w:val="uk-UA"/>
        </w:rPr>
        <w:t>3200</w:t>
      </w:r>
      <w:r w:rsidR="00C71FD6" w:rsidRPr="00203B01">
        <w:rPr>
          <w:b/>
          <w:color w:val="auto"/>
          <w:sz w:val="24"/>
          <w:szCs w:val="24"/>
          <w:lang w:val="uk-UA"/>
        </w:rPr>
        <w:t xml:space="preserve"> </w:t>
      </w:r>
      <w:r w:rsidR="00C71FD6">
        <w:rPr>
          <w:b/>
          <w:color w:val="auto"/>
          <w:sz w:val="24"/>
          <w:szCs w:val="24"/>
          <w:lang w:val="uk-UA"/>
        </w:rPr>
        <w:t>ХА</w:t>
      </w:r>
      <w:r w:rsidR="00C71FD6" w:rsidRPr="00203B01">
        <w:rPr>
          <w:b/>
          <w:color w:val="auto"/>
          <w:sz w:val="24"/>
          <w:szCs w:val="24"/>
          <w:lang w:val="uk-UA"/>
        </w:rPr>
        <w:t xml:space="preserve"> 2018 </w:t>
      </w:r>
      <w:r>
        <w:rPr>
          <w:b/>
          <w:sz w:val="24"/>
          <w:szCs w:val="24"/>
          <w:lang w:val="uk-UA"/>
        </w:rPr>
        <w:t>року</w:t>
      </w:r>
      <w:r w:rsidR="00C71FD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випуску</w:t>
      </w:r>
      <w:r>
        <w:rPr>
          <w:color w:val="auto"/>
          <w:sz w:val="24"/>
          <w:szCs w:val="24"/>
          <w:lang w:val="uk-UA"/>
        </w:rPr>
        <w:t>. Запасні частини виконавця використані у ремонті авто повинні бути високої якості та мати гарантію. Замовник розглядає еквівалент вищезазначених товарів, але вони повинні відповідати якісним показникам вказаних виробів. У разі невідповідності співпраця буде неможливою, а переможець торгів з товаром невідповідної якості дискваліфікований</w:t>
      </w:r>
      <w:r w:rsidR="004543E3">
        <w:rPr>
          <w:color w:val="auto"/>
          <w:sz w:val="24"/>
          <w:szCs w:val="24"/>
          <w:lang w:val="uk-UA"/>
        </w:rPr>
        <w:t>.</w:t>
      </w:r>
    </w:p>
    <w:p w:rsidR="0062430D" w:rsidRDefault="0062430D" w:rsidP="00507D08">
      <w:pPr>
        <w:rPr>
          <w:b/>
          <w:color w:val="auto"/>
          <w:lang w:val="uk-UA"/>
        </w:rPr>
      </w:pPr>
    </w:p>
    <w:p w:rsidR="00507D08" w:rsidRPr="00C50AD0" w:rsidRDefault="004543E3" w:rsidP="00507D08">
      <w:pPr>
        <w:rPr>
          <w:b/>
          <w:color w:val="auto"/>
          <w:lang w:val="uk-UA"/>
        </w:rPr>
      </w:pPr>
      <w:r w:rsidRPr="00C50AD0">
        <w:rPr>
          <w:b/>
          <w:color w:val="auto"/>
          <w:lang w:val="uk-UA"/>
        </w:rPr>
        <w:t>Роботи проводяться  на  офіційній  станції  технічного обслуговування.</w:t>
      </w:r>
    </w:p>
    <w:p w:rsidR="00507D08" w:rsidRDefault="00507D08" w:rsidP="00507D08">
      <w:pPr>
        <w:rPr>
          <w:color w:val="FF0000"/>
          <w:sz w:val="24"/>
          <w:szCs w:val="24"/>
          <w:lang w:val="uk-UA"/>
        </w:rPr>
      </w:pPr>
    </w:p>
    <w:p w:rsidR="00507D08" w:rsidRDefault="00507D08" w:rsidP="00507D08">
      <w:pPr>
        <w:rPr>
          <w:color w:val="FF0000"/>
          <w:sz w:val="24"/>
          <w:szCs w:val="24"/>
          <w:lang w:val="uk-UA"/>
        </w:rPr>
      </w:pPr>
    </w:p>
    <w:p w:rsidR="00507D08" w:rsidRDefault="00507D08" w:rsidP="00507D08">
      <w:pPr>
        <w:rPr>
          <w:rFonts w:eastAsiaTheme="minorHAnsi"/>
          <w:color w:val="FF0000"/>
          <w:sz w:val="24"/>
          <w:szCs w:val="24"/>
          <w:lang w:val="uk-UA" w:eastAsia="en-US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C71FD6" w:rsidRDefault="00C71FD6" w:rsidP="00C71FD6">
      <w:pPr>
        <w:rPr>
          <w:color w:val="FF0000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2C1620" w:rsidRDefault="002C1620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C71FD6" w:rsidRDefault="00C71FD6" w:rsidP="00C71FD6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C71FD6" w:rsidRDefault="00C71FD6" w:rsidP="00C71FD6">
      <w:pPr>
        <w:pStyle w:val="1"/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50110000-9 – послуги з ремонту і технічного обслуговування </w:t>
      </w:r>
      <w:proofErr w:type="spellStart"/>
      <w:r>
        <w:rPr>
          <w:color w:val="auto"/>
          <w:sz w:val="24"/>
          <w:szCs w:val="24"/>
          <w:lang w:val="uk-UA"/>
        </w:rPr>
        <w:t>мототранспортних</w:t>
      </w:r>
      <w:proofErr w:type="spellEnd"/>
      <w:r>
        <w:rPr>
          <w:color w:val="auto"/>
          <w:sz w:val="24"/>
          <w:szCs w:val="24"/>
          <w:lang w:val="uk-UA"/>
        </w:rPr>
        <w:t xml:space="preserve"> засобів і супутнього обладнання (послуги з поточного ремонту автомобілів)</w:t>
      </w:r>
    </w:p>
    <w:p w:rsidR="00C71FD6" w:rsidRDefault="00C71FD6" w:rsidP="00C71FD6">
      <w:pPr>
        <w:ind w:right="-1"/>
        <w:rPr>
          <w:b/>
          <w:color w:val="auto"/>
          <w:sz w:val="24"/>
          <w:szCs w:val="24"/>
          <w:lang w:val="uk-UA"/>
        </w:rPr>
      </w:pPr>
    </w:p>
    <w:p w:rsidR="00C71FD6" w:rsidRPr="00B60EE8" w:rsidRDefault="00C71FD6" w:rsidP="00C71FD6">
      <w:pPr>
        <w:ind w:right="-1"/>
        <w:rPr>
          <w:b/>
          <w:color w:val="auto"/>
          <w:lang w:val="uk-UA"/>
        </w:rPr>
      </w:pPr>
      <w:r w:rsidRPr="00E60B32">
        <w:rPr>
          <w:b/>
          <w:color w:val="auto"/>
          <w:sz w:val="24"/>
          <w:szCs w:val="24"/>
          <w:lang w:val="en-US"/>
        </w:rPr>
        <w:t>Toy</w:t>
      </w:r>
      <w:r>
        <w:rPr>
          <w:b/>
          <w:color w:val="auto"/>
          <w:sz w:val="24"/>
          <w:szCs w:val="24"/>
          <w:lang w:val="en-US"/>
        </w:rPr>
        <w:t>o</w:t>
      </w:r>
      <w:r w:rsidRPr="00E60B32">
        <w:rPr>
          <w:b/>
          <w:color w:val="auto"/>
          <w:sz w:val="24"/>
          <w:szCs w:val="24"/>
          <w:lang w:val="en-US"/>
        </w:rPr>
        <w:t>ta</w:t>
      </w:r>
      <w:r>
        <w:rPr>
          <w:b/>
          <w:color w:val="auto"/>
          <w:sz w:val="24"/>
          <w:szCs w:val="24"/>
          <w:lang w:val="uk-UA"/>
        </w:rPr>
        <w:t xml:space="preserve"> </w:t>
      </w:r>
      <w:r w:rsidRPr="00D312C6">
        <w:rPr>
          <w:b/>
          <w:color w:val="auto"/>
          <w:sz w:val="24"/>
          <w:szCs w:val="24"/>
          <w:lang w:val="en-US" w:eastAsia="uk-UA"/>
        </w:rPr>
        <w:t>CAMRY</w:t>
      </w:r>
      <w:r w:rsidRPr="00E60B32">
        <w:rPr>
          <w:b/>
          <w:color w:val="auto"/>
          <w:sz w:val="24"/>
          <w:szCs w:val="24"/>
          <w:lang w:val="uk-UA"/>
        </w:rPr>
        <w:t xml:space="preserve"> державний реєстраційний </w:t>
      </w:r>
      <w:r w:rsidRPr="0062430D">
        <w:rPr>
          <w:b/>
          <w:color w:val="auto"/>
          <w:sz w:val="24"/>
          <w:szCs w:val="24"/>
          <w:lang w:val="uk-UA"/>
        </w:rPr>
        <w:t xml:space="preserve">номер </w:t>
      </w:r>
      <w:r w:rsidRPr="00203B01">
        <w:rPr>
          <w:b/>
          <w:color w:val="auto"/>
          <w:sz w:val="24"/>
          <w:szCs w:val="24"/>
          <w:lang w:val="uk-UA"/>
        </w:rPr>
        <w:t>АА</w:t>
      </w:r>
      <w:r w:rsidR="00B61F18">
        <w:rPr>
          <w:b/>
          <w:color w:val="auto"/>
          <w:sz w:val="24"/>
          <w:szCs w:val="24"/>
          <w:lang w:val="uk-UA"/>
        </w:rPr>
        <w:t>3200</w:t>
      </w:r>
      <w:r w:rsidRPr="00203B01">
        <w:rPr>
          <w:b/>
          <w:color w:val="auto"/>
          <w:sz w:val="24"/>
          <w:szCs w:val="24"/>
          <w:lang w:val="uk-UA"/>
        </w:rPr>
        <w:t xml:space="preserve"> </w:t>
      </w:r>
      <w:r w:rsidR="00B61F18">
        <w:rPr>
          <w:b/>
          <w:color w:val="auto"/>
          <w:sz w:val="24"/>
          <w:szCs w:val="24"/>
          <w:lang w:val="uk-UA"/>
        </w:rPr>
        <w:t>ХА</w:t>
      </w:r>
      <w:r w:rsidRPr="00203B01">
        <w:rPr>
          <w:b/>
          <w:color w:val="auto"/>
          <w:sz w:val="24"/>
          <w:szCs w:val="24"/>
          <w:lang w:val="uk-UA"/>
        </w:rPr>
        <w:t xml:space="preserve"> 2018 року випуску </w:t>
      </w:r>
      <w:r w:rsidRPr="00203B01">
        <w:rPr>
          <w:b/>
          <w:color w:val="auto"/>
          <w:lang w:val="uk-UA"/>
        </w:rPr>
        <w:t xml:space="preserve">ТО </w:t>
      </w:r>
      <w:r w:rsidR="00B60EE8">
        <w:rPr>
          <w:b/>
          <w:color w:val="auto"/>
          <w:lang w:val="uk-UA"/>
        </w:rPr>
        <w:t>90</w:t>
      </w:r>
      <w:r w:rsidRPr="00203B01">
        <w:rPr>
          <w:b/>
          <w:color w:val="auto"/>
          <w:lang w:val="uk-UA"/>
        </w:rPr>
        <w:t>,000 км.</w:t>
      </w:r>
      <w:r w:rsidRPr="00C71FD6">
        <w:rPr>
          <w:b/>
          <w:color w:val="auto"/>
          <w:lang w:val="uk-UA"/>
        </w:rPr>
        <w:t xml:space="preserve"> </w:t>
      </w:r>
    </w:p>
    <w:p w:rsidR="00C71FD6" w:rsidRDefault="00C71FD6" w:rsidP="00C71FD6">
      <w:pPr>
        <w:ind w:right="-1"/>
        <w:rPr>
          <w:b/>
          <w:color w:val="auto"/>
          <w:sz w:val="24"/>
          <w:szCs w:val="24"/>
          <w:lang w:val="uk-UA"/>
        </w:rPr>
      </w:pPr>
    </w:p>
    <w:p w:rsidR="00B61F18" w:rsidRPr="0062430D" w:rsidRDefault="00B61F18" w:rsidP="00B61F18">
      <w:pPr>
        <w:ind w:right="-1"/>
        <w:rPr>
          <w:b/>
          <w:color w:val="auto"/>
          <w:sz w:val="24"/>
          <w:szCs w:val="24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20"/>
        <w:gridCol w:w="7680"/>
        <w:gridCol w:w="1247"/>
      </w:tblGrid>
      <w:tr w:rsidR="00B61F18" w:rsidTr="00F04721">
        <w:trPr>
          <w:trHeight w:val="49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B61F18" w:rsidTr="00F04721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B61F18" w:rsidRPr="004543E3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350390">
              <w:rPr>
                <w:color w:val="auto"/>
                <w:sz w:val="24"/>
                <w:szCs w:val="24"/>
                <w:lang w:val="uk-UA" w:eastAsia="uk-UA"/>
              </w:rPr>
              <w:t>Послуги з технічного обслуговування автомобіля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35039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Зняття, встановлення  захисту двигуна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350390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Зняття, встановлення   АКЗП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3</w:t>
            </w:r>
            <w:r w:rsidRPr="00350390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Зняття, встановлення   свічки запалювання (усі)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4</w:t>
            </w:r>
            <w:r w:rsidRPr="00350390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Фільтр повітряний – зняття/встановлення або заміна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350390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Зняття, встановлення    фільтра </w:t>
            </w:r>
            <w:proofErr w:type="spellStart"/>
            <w:r w:rsidRPr="00B61F18">
              <w:rPr>
                <w:color w:val="auto"/>
                <w:sz w:val="24"/>
                <w:szCs w:val="24"/>
                <w:lang w:val="uk-UA" w:eastAsia="uk-UA"/>
              </w:rPr>
              <w:t>салона</w:t>
            </w:r>
            <w:proofErr w:type="spellEnd"/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B61F18">
              <w:rPr>
                <w:color w:val="auto"/>
                <w:sz w:val="24"/>
                <w:szCs w:val="24"/>
                <w:lang w:val="uk-UA" w:eastAsia="uk-UA"/>
              </w:rPr>
              <w:t>інпекція</w:t>
            </w:r>
            <w:proofErr w:type="spellEnd"/>
            <w:r w:rsidRPr="00B61F18">
              <w:rPr>
                <w:color w:val="auto"/>
                <w:sz w:val="24"/>
                <w:szCs w:val="24"/>
                <w:lang w:val="uk-UA" w:eastAsia="uk-UA"/>
              </w:rPr>
              <w:t>/заміна)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Заміна оливи двигуна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Заміна рідини автоматичної коробки передач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Заміна рідини в гальмівній системі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Огляд автомобіля при виконанні ТО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F10298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>Технологічна мийка (без протирання)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F1029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F10298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Pr="00B61F18" w:rsidRDefault="00B61F18" w:rsidP="00F04721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B61F18">
              <w:rPr>
                <w:color w:val="auto"/>
                <w:sz w:val="24"/>
                <w:szCs w:val="24"/>
                <w:lang w:val="uk-UA" w:eastAsia="uk-UA"/>
              </w:rPr>
              <w:t xml:space="preserve">Діагностичні данні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18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</w:tr>
      <w:tr w:rsidR="00B61F18" w:rsidRPr="00C50AD0" w:rsidTr="00F04721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18" w:rsidRPr="00C50AD0" w:rsidRDefault="00B61F18" w:rsidP="00F04721">
            <w:pPr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C50AD0">
              <w:rPr>
                <w:color w:val="FF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F18" w:rsidRPr="004772E4" w:rsidRDefault="00B61F18" w:rsidP="00F04721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</w:tbl>
    <w:p w:rsidR="00AF1D22" w:rsidRDefault="00AF1D22" w:rsidP="00AF1D22">
      <w:pPr>
        <w:ind w:right="-1"/>
        <w:rPr>
          <w:b/>
          <w:color w:val="auto"/>
          <w:sz w:val="24"/>
          <w:szCs w:val="24"/>
          <w:lang w:val="uk-UA"/>
        </w:rPr>
      </w:pPr>
    </w:p>
    <w:p w:rsidR="00C71FD6" w:rsidRPr="0062430D" w:rsidRDefault="00C71FD6" w:rsidP="00C71FD6">
      <w:pPr>
        <w:ind w:right="-1"/>
        <w:rPr>
          <w:b/>
          <w:color w:val="auto"/>
          <w:sz w:val="24"/>
          <w:szCs w:val="24"/>
          <w:lang w:val="uk-UA"/>
        </w:rPr>
      </w:pPr>
    </w:p>
    <w:p w:rsidR="00C71FD6" w:rsidRPr="004543E3" w:rsidRDefault="00C71FD6" w:rsidP="00C71FD6">
      <w:pPr>
        <w:ind w:right="-1"/>
        <w:jc w:val="both"/>
        <w:rPr>
          <w:color w:val="FF0000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Ремонт авто –</w:t>
      </w:r>
      <w:r w:rsidRPr="00E60B32">
        <w:rPr>
          <w:b/>
          <w:color w:val="auto"/>
          <w:sz w:val="24"/>
          <w:szCs w:val="24"/>
          <w:lang w:val="en-US"/>
        </w:rPr>
        <w:t>Toy</w:t>
      </w:r>
      <w:r>
        <w:rPr>
          <w:b/>
          <w:color w:val="auto"/>
          <w:sz w:val="24"/>
          <w:szCs w:val="24"/>
          <w:lang w:val="en-US"/>
        </w:rPr>
        <w:t>o</w:t>
      </w:r>
      <w:r w:rsidRPr="00E60B32">
        <w:rPr>
          <w:b/>
          <w:color w:val="auto"/>
          <w:sz w:val="24"/>
          <w:szCs w:val="24"/>
          <w:lang w:val="en-US"/>
        </w:rPr>
        <w:t>ta</w:t>
      </w:r>
      <w:r>
        <w:rPr>
          <w:b/>
          <w:color w:val="auto"/>
          <w:sz w:val="24"/>
          <w:szCs w:val="24"/>
          <w:lang w:val="uk-UA"/>
        </w:rPr>
        <w:t xml:space="preserve"> </w:t>
      </w:r>
      <w:r w:rsidRPr="00D312C6">
        <w:rPr>
          <w:b/>
          <w:color w:val="auto"/>
          <w:sz w:val="24"/>
          <w:szCs w:val="24"/>
          <w:lang w:val="en-US" w:eastAsia="uk-UA"/>
        </w:rPr>
        <w:t>CAMRY</w:t>
      </w:r>
      <w:r w:rsidRPr="00E60B32">
        <w:rPr>
          <w:b/>
          <w:color w:val="auto"/>
          <w:sz w:val="24"/>
          <w:szCs w:val="24"/>
          <w:lang w:val="uk-UA"/>
        </w:rPr>
        <w:t xml:space="preserve"> державний реєстраційний </w:t>
      </w:r>
      <w:r w:rsidRPr="0062430D">
        <w:rPr>
          <w:b/>
          <w:color w:val="auto"/>
          <w:sz w:val="24"/>
          <w:szCs w:val="24"/>
          <w:lang w:val="uk-UA"/>
        </w:rPr>
        <w:t xml:space="preserve">номер </w:t>
      </w:r>
      <w:r w:rsidRPr="00203B01">
        <w:rPr>
          <w:b/>
          <w:color w:val="auto"/>
          <w:sz w:val="24"/>
          <w:szCs w:val="24"/>
          <w:lang w:val="uk-UA"/>
        </w:rPr>
        <w:t>АА</w:t>
      </w:r>
      <w:r w:rsidR="00B61F18">
        <w:rPr>
          <w:b/>
          <w:color w:val="auto"/>
          <w:sz w:val="24"/>
          <w:szCs w:val="24"/>
          <w:lang w:val="uk-UA"/>
        </w:rPr>
        <w:t xml:space="preserve"> 3200 ХА </w:t>
      </w:r>
      <w:r w:rsidRPr="00203B01">
        <w:rPr>
          <w:b/>
          <w:color w:val="auto"/>
          <w:sz w:val="24"/>
          <w:szCs w:val="24"/>
          <w:lang w:val="uk-UA"/>
        </w:rPr>
        <w:t xml:space="preserve">2018 року випуску </w:t>
      </w:r>
      <w:r w:rsidRPr="00203B01">
        <w:rPr>
          <w:b/>
          <w:color w:val="auto"/>
          <w:lang w:val="uk-UA"/>
        </w:rPr>
        <w:t xml:space="preserve">ТО </w:t>
      </w:r>
      <w:r w:rsidR="00B60EE8">
        <w:rPr>
          <w:b/>
          <w:color w:val="auto"/>
          <w:lang w:val="uk-UA"/>
        </w:rPr>
        <w:t>90</w:t>
      </w:r>
      <w:r w:rsidRPr="00203B01">
        <w:rPr>
          <w:b/>
          <w:color w:val="auto"/>
          <w:lang w:val="uk-UA"/>
        </w:rPr>
        <w:t>,000 км</w:t>
      </w:r>
      <w:r>
        <w:rPr>
          <w:b/>
          <w:sz w:val="24"/>
          <w:szCs w:val="24"/>
          <w:lang w:val="uk-UA"/>
        </w:rPr>
        <w:t xml:space="preserve"> випуску</w:t>
      </w:r>
      <w:r>
        <w:rPr>
          <w:color w:val="auto"/>
          <w:sz w:val="24"/>
          <w:szCs w:val="24"/>
          <w:lang w:val="uk-UA"/>
        </w:rPr>
        <w:t>. Запасні частини виконавця використані у ремонті авто повинні бути високої якості та мати гарантію. Замовник розглядає еквівалент вищезазначених товарів, але вони повинні відповідати якісним показникам вказаних виробів. У разі невідповідності співпраця буде неможливою, а переможець торгів з товаром невідповідної якості дискваліфікований.</w:t>
      </w:r>
    </w:p>
    <w:p w:rsidR="00C71FD6" w:rsidRDefault="00C71FD6" w:rsidP="00C71FD6">
      <w:pPr>
        <w:rPr>
          <w:b/>
          <w:color w:val="auto"/>
          <w:lang w:val="uk-UA"/>
        </w:rPr>
      </w:pPr>
    </w:p>
    <w:p w:rsidR="00F01B50" w:rsidRDefault="00C71FD6" w:rsidP="00C71FD6">
      <w:pPr>
        <w:jc w:val="center"/>
        <w:rPr>
          <w:color w:val="auto"/>
          <w:sz w:val="24"/>
          <w:szCs w:val="24"/>
          <w:lang w:val="uk-UA"/>
        </w:rPr>
      </w:pPr>
      <w:r w:rsidRPr="00C50AD0">
        <w:rPr>
          <w:b/>
          <w:color w:val="auto"/>
          <w:lang w:val="uk-UA"/>
        </w:rPr>
        <w:t>Роботи проводяться  на  офіційній  станції  технічного обслуговування</w:t>
      </w: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F01B50" w:rsidRDefault="00F01B50" w:rsidP="00507D08">
      <w:pPr>
        <w:jc w:val="center"/>
        <w:rPr>
          <w:color w:val="auto"/>
          <w:sz w:val="24"/>
          <w:szCs w:val="24"/>
          <w:lang w:val="uk-UA"/>
        </w:rPr>
      </w:pPr>
    </w:p>
    <w:p w:rsidR="00507D08" w:rsidRDefault="00507D08" w:rsidP="00507D08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62430D" w:rsidRDefault="0062430D" w:rsidP="00507D08">
      <w:pPr>
        <w:jc w:val="center"/>
        <w:rPr>
          <w:color w:val="auto"/>
          <w:sz w:val="24"/>
          <w:szCs w:val="24"/>
          <w:lang w:val="uk-UA"/>
        </w:rPr>
      </w:pPr>
    </w:p>
    <w:p w:rsidR="00507D08" w:rsidRDefault="00507D08" w:rsidP="00507D08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Додаток 2</w:t>
      </w:r>
    </w:p>
    <w:p w:rsidR="00507D08" w:rsidRDefault="00507D08" w:rsidP="00507D08">
      <w:pPr>
        <w:pStyle w:val="1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до оголошення</w:t>
      </w:r>
    </w:p>
    <w:p w:rsidR="00507D08" w:rsidRDefault="00507D08" w:rsidP="00507D08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507D08" w:rsidRDefault="00507D08" w:rsidP="00507D08">
      <w:pPr>
        <w:pStyle w:val="1"/>
        <w:spacing w:after="240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507D08" w:rsidRDefault="00507D08" w:rsidP="00507D08">
      <w:pPr>
        <w:pStyle w:val="1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507D08" w:rsidRDefault="00507D08" w:rsidP="00507D08">
      <w:pPr>
        <w:pStyle w:val="1"/>
        <w:spacing w:after="240"/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50110000-9 – послуги з ремонту і технічного обслуговування </w:t>
      </w:r>
      <w:proofErr w:type="spellStart"/>
      <w:r>
        <w:rPr>
          <w:color w:val="auto"/>
          <w:sz w:val="24"/>
          <w:szCs w:val="24"/>
          <w:lang w:val="uk-UA"/>
        </w:rPr>
        <w:t>мототранспортних</w:t>
      </w:r>
      <w:proofErr w:type="spellEnd"/>
      <w:r>
        <w:rPr>
          <w:color w:val="auto"/>
          <w:sz w:val="24"/>
          <w:szCs w:val="24"/>
          <w:lang w:val="uk-UA"/>
        </w:rPr>
        <w:t xml:space="preserve"> засобів і супутнього обладнання (послуги з поточного ремонту автомобілів)</w:t>
      </w:r>
    </w:p>
    <w:p w:rsidR="00507D08" w:rsidRDefault="00507D08" w:rsidP="00507D08">
      <w:pPr>
        <w:pStyle w:val="1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Інформація щодо кваліфікації  учасника</w:t>
      </w:r>
    </w:p>
    <w:p w:rsidR="00507D08" w:rsidRDefault="00507D08" w:rsidP="00507D08">
      <w:pPr>
        <w:pStyle w:val="1"/>
        <w:ind w:firstLine="708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Для підтвердження кваліфікації учасник повинен надати в електронному (сканованому) вигляді в складі своєї пропозиції наступні документи : </w:t>
      </w:r>
    </w:p>
    <w:p w:rsidR="00507D08" w:rsidRDefault="00507D08" w:rsidP="00507D08">
      <w:pPr>
        <w:pStyle w:val="1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:rsidR="00507D08" w:rsidRDefault="00507D08" w:rsidP="00507D08">
      <w:pPr>
        <w:pStyle w:val="1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:rsidR="00507D08" w:rsidRDefault="00507D08" w:rsidP="00507D08">
      <w:pPr>
        <w:pStyle w:val="1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- ремонт проводиться кваліфікаційними робітниками в м. Києві на СТО переможця;</w:t>
      </w:r>
    </w:p>
    <w:p w:rsidR="00507D08" w:rsidRDefault="00507D08" w:rsidP="00507D08">
      <w:pPr>
        <w:ind w:firstLine="567"/>
        <w:jc w:val="both"/>
        <w:rPr>
          <w:color w:val="auto"/>
          <w:sz w:val="24"/>
          <w:szCs w:val="24"/>
          <w:lang w:val="uk-UA" w:eastAsia="uk-UA"/>
        </w:rPr>
      </w:pPr>
      <w:r>
        <w:rPr>
          <w:color w:val="auto"/>
          <w:sz w:val="24"/>
          <w:szCs w:val="24"/>
          <w:lang w:val="uk-UA" w:eastAsia="uk-UA"/>
        </w:rPr>
        <w:t xml:space="preserve">  - довідка, яка повинна містити інформацію про наявність спеціалізованих працівників (із зазначенням стажу роботи за даним напрямком роботи);</w:t>
      </w:r>
    </w:p>
    <w:p w:rsidR="00507D08" w:rsidRDefault="00507D08" w:rsidP="00507D08">
      <w:pPr>
        <w:pStyle w:val="1"/>
        <w:ind w:firstLine="709"/>
        <w:jc w:val="both"/>
        <w:rPr>
          <w:color w:val="auto"/>
          <w:sz w:val="24"/>
          <w:szCs w:val="24"/>
          <w:lang w:val="uk-UA" w:eastAsia="uk-UA"/>
        </w:rPr>
      </w:pPr>
      <w:r>
        <w:rPr>
          <w:color w:val="auto"/>
          <w:sz w:val="24"/>
          <w:szCs w:val="24"/>
          <w:lang w:val="uk-UA"/>
        </w:rPr>
        <w:t>- пропозиція.</w:t>
      </w:r>
    </w:p>
    <w:p w:rsidR="00EE71AD" w:rsidRPr="00592316" w:rsidRDefault="00EE71AD" w:rsidP="00EE71AD">
      <w:pPr>
        <w:ind w:firstLine="709"/>
        <w:jc w:val="both"/>
        <w:rPr>
          <w:rFonts w:eastAsia="Calibri"/>
          <w:color w:val="auto"/>
          <w:sz w:val="26"/>
          <w:szCs w:val="26"/>
          <w:lang w:val="uk-UA"/>
        </w:rPr>
      </w:pPr>
      <w:r w:rsidRPr="00F3534D">
        <w:rPr>
          <w:color w:val="FF0000"/>
          <w:sz w:val="24"/>
          <w:szCs w:val="24"/>
          <w:lang w:val="uk-UA" w:eastAsia="uk-UA"/>
        </w:rPr>
        <w:t xml:space="preserve">  </w:t>
      </w:r>
      <w:r w:rsidRPr="00592316">
        <w:rPr>
          <w:b/>
          <w:i/>
          <w:color w:val="auto"/>
          <w:sz w:val="26"/>
          <w:szCs w:val="26"/>
          <w:lang w:val="uk-UA" w:eastAsia="ar-SA"/>
        </w:rPr>
        <w:t xml:space="preserve">Під час використання електронної системи </w:t>
      </w:r>
      <w:proofErr w:type="spellStart"/>
      <w:r w:rsidRPr="00592316">
        <w:rPr>
          <w:b/>
          <w:i/>
          <w:color w:val="auto"/>
          <w:sz w:val="26"/>
          <w:szCs w:val="26"/>
          <w:lang w:val="uk-UA" w:eastAsia="ar-SA"/>
        </w:rPr>
        <w:t>закупівель</w:t>
      </w:r>
      <w:proofErr w:type="spellEnd"/>
      <w:r w:rsidRPr="00592316">
        <w:rPr>
          <w:b/>
          <w:i/>
          <w:color w:val="auto"/>
          <w:sz w:val="26"/>
          <w:szCs w:val="26"/>
          <w:lang w:val="uk-UA" w:eastAsia="ar-SA"/>
        </w:rPr>
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592316">
        <w:rPr>
          <w:b/>
          <w:i/>
          <w:color w:val="auto"/>
          <w:sz w:val="26"/>
          <w:szCs w:val="26"/>
          <w:lang w:val="uk-UA" w:eastAsia="ar-SA"/>
        </w:rPr>
        <w:t>засвідчувального</w:t>
      </w:r>
      <w:proofErr w:type="spellEnd"/>
      <w:r w:rsidRPr="00592316">
        <w:rPr>
          <w:b/>
          <w:i/>
          <w:color w:val="auto"/>
          <w:sz w:val="26"/>
          <w:szCs w:val="26"/>
          <w:lang w:val="uk-UA" w:eastAsia="ar-SA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592316">
        <w:rPr>
          <w:b/>
          <w:i/>
          <w:color w:val="auto"/>
          <w:sz w:val="26"/>
          <w:szCs w:val="26"/>
          <w:lang w:val="uk-UA" w:eastAsia="ar-SA"/>
        </w:rPr>
        <w:t>відхилено</w:t>
      </w:r>
      <w:proofErr w:type="spellEnd"/>
      <w:r w:rsidRPr="00592316">
        <w:rPr>
          <w:b/>
          <w:i/>
          <w:color w:val="auto"/>
          <w:sz w:val="26"/>
          <w:szCs w:val="26"/>
          <w:lang w:val="uk-UA" w:eastAsia="ar-SA"/>
        </w:rPr>
        <w:t xml:space="preserve"> на підставі пункту 1 частини 13 статті 14 Закону</w:t>
      </w:r>
      <w:r w:rsidRPr="00592316">
        <w:rPr>
          <w:rFonts w:eastAsia="Calibri"/>
          <w:color w:val="auto"/>
          <w:sz w:val="26"/>
          <w:szCs w:val="26"/>
          <w:lang w:val="uk-UA"/>
        </w:rPr>
        <w:t xml:space="preserve">. </w:t>
      </w:r>
    </w:p>
    <w:p w:rsidR="00EE71AD" w:rsidRPr="00592316" w:rsidRDefault="00EE71AD" w:rsidP="00EE71AD">
      <w:pPr>
        <w:ind w:firstLine="567"/>
        <w:jc w:val="both"/>
        <w:rPr>
          <w:color w:val="auto"/>
          <w:sz w:val="24"/>
          <w:szCs w:val="24"/>
          <w:lang w:val="uk-UA" w:eastAsia="uk-UA"/>
        </w:rPr>
      </w:pPr>
    </w:p>
    <w:p w:rsidR="00A135D1" w:rsidRPr="00EE71AD" w:rsidRDefault="00A135D1">
      <w:pPr>
        <w:rPr>
          <w:lang w:val="uk-UA"/>
        </w:rPr>
      </w:pPr>
    </w:p>
    <w:sectPr w:rsidR="00A135D1" w:rsidRPr="00EE7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3D94"/>
    <w:multiLevelType w:val="hybridMultilevel"/>
    <w:tmpl w:val="66FAEA36"/>
    <w:lvl w:ilvl="0" w:tplc="B2E69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08"/>
    <w:rsid w:val="001736C4"/>
    <w:rsid w:val="00173DA6"/>
    <w:rsid w:val="00203B01"/>
    <w:rsid w:val="002677EC"/>
    <w:rsid w:val="00276E56"/>
    <w:rsid w:val="002C1620"/>
    <w:rsid w:val="002C2E46"/>
    <w:rsid w:val="0033651A"/>
    <w:rsid w:val="00350390"/>
    <w:rsid w:val="00357126"/>
    <w:rsid w:val="00364705"/>
    <w:rsid w:val="00373F63"/>
    <w:rsid w:val="003C00EB"/>
    <w:rsid w:val="003E40BC"/>
    <w:rsid w:val="004543E3"/>
    <w:rsid w:val="004772E4"/>
    <w:rsid w:val="00506938"/>
    <w:rsid w:val="00507D08"/>
    <w:rsid w:val="0051788F"/>
    <w:rsid w:val="00592316"/>
    <w:rsid w:val="00617A40"/>
    <w:rsid w:val="0062430D"/>
    <w:rsid w:val="0066791B"/>
    <w:rsid w:val="006E5DC2"/>
    <w:rsid w:val="007379D4"/>
    <w:rsid w:val="00743E9C"/>
    <w:rsid w:val="00857319"/>
    <w:rsid w:val="00873145"/>
    <w:rsid w:val="0090292D"/>
    <w:rsid w:val="009632BC"/>
    <w:rsid w:val="00992548"/>
    <w:rsid w:val="00A135D1"/>
    <w:rsid w:val="00A8050C"/>
    <w:rsid w:val="00AF1D22"/>
    <w:rsid w:val="00B60EE8"/>
    <w:rsid w:val="00B61F18"/>
    <w:rsid w:val="00B758EB"/>
    <w:rsid w:val="00C50AD0"/>
    <w:rsid w:val="00C71FD6"/>
    <w:rsid w:val="00C750AF"/>
    <w:rsid w:val="00CB6146"/>
    <w:rsid w:val="00D312C6"/>
    <w:rsid w:val="00DE7FBC"/>
    <w:rsid w:val="00E46B31"/>
    <w:rsid w:val="00E60B32"/>
    <w:rsid w:val="00E70D2B"/>
    <w:rsid w:val="00E7663D"/>
    <w:rsid w:val="00EA0AC6"/>
    <w:rsid w:val="00EA5CD8"/>
    <w:rsid w:val="00EE71AD"/>
    <w:rsid w:val="00EF7844"/>
    <w:rsid w:val="00F01B50"/>
    <w:rsid w:val="00F10298"/>
    <w:rsid w:val="00F76A01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7D01"/>
  <w15:docId w15:val="{4504D78D-5813-4E26-98FB-51A5C1C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D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7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Обычный1"/>
    <w:rsid w:val="00507D0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8F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zoro3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4944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Юлія Володимирівна</dc:creator>
  <cp:keywords/>
  <dc:description/>
  <cp:lastModifiedBy>Денисенко Юлія Володимирівна</cp:lastModifiedBy>
  <cp:revision>26</cp:revision>
  <cp:lastPrinted>2020-11-26T14:31:00Z</cp:lastPrinted>
  <dcterms:created xsi:type="dcterms:W3CDTF">2020-05-21T11:53:00Z</dcterms:created>
  <dcterms:modified xsi:type="dcterms:W3CDTF">2022-11-03T11:30:00Z</dcterms:modified>
</cp:coreProperties>
</file>