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>
      <w:pPr>
        <w:wordWrap w:val="0"/>
        <w:jc w:val="righ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тендерно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ї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документац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ії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Медико-технічні вимоги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ДК 021:2015 код 33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0000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-7</w:t>
      </w:r>
      <w:r>
        <w:rPr>
          <w:rFonts w:ascii="Times New Roman" w:hAnsi="Times New Roman" w:eastAsia="Calibri" w:cs="Times New Roman"/>
          <w:b/>
          <w:sz w:val="22"/>
          <w:szCs w:val="22"/>
          <w:lang w:val="uk-UA" w:eastAsia="en-US"/>
        </w:rPr>
        <w:t>«Системи реєстрації медичної інформації та дослідне обладнання»</w:t>
      </w:r>
      <w:r>
        <w:rPr>
          <w:rFonts w:hint="default" w:ascii="Times New Roman" w:hAnsi="Times New Roman" w:eastAsia="Calibri" w:cs="Times New Roman"/>
          <w:b/>
          <w:sz w:val="22"/>
          <w:szCs w:val="22"/>
          <w:lang w:val="uk-UA" w:eastAsia="en-US"/>
        </w:rPr>
        <w:t>. Приладдя для аналізу крові.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ind w:left="567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Кількість: </w:t>
      </w:r>
      <w:r>
        <w:rPr>
          <w:rFonts w:hint="default"/>
          <w:b/>
          <w:sz w:val="22"/>
          <w:szCs w:val="22"/>
          <w:lang w:val="uk-UA"/>
        </w:rPr>
        <w:t>6</w:t>
      </w:r>
      <w:r>
        <w:rPr>
          <w:b/>
          <w:sz w:val="22"/>
          <w:szCs w:val="22"/>
          <w:lang w:val="uk-UA"/>
        </w:rPr>
        <w:t xml:space="preserve"> одиниць.</w:t>
      </w:r>
    </w:p>
    <w:p>
      <w:pPr>
        <w:ind w:left="567"/>
        <w:jc w:val="both"/>
        <w:rPr>
          <w:b/>
          <w:sz w:val="22"/>
          <w:szCs w:val="22"/>
          <w:lang w:val="uk-UA"/>
        </w:rPr>
      </w:pPr>
    </w:p>
    <w:tbl>
      <w:tblPr>
        <w:tblStyle w:val="5"/>
        <w:tblW w:w="1067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010"/>
        <w:gridCol w:w="1559"/>
        <w:gridCol w:w="3960"/>
        <w:gridCol w:w="720"/>
        <w:gridCol w:w="68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ind w:right="-9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класифікатору НК024-2023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 xml:space="preserve">Назва  товару 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Вимоги до технічних характеристик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Кіль-ість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Відповідність ТАК/НІ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ind w:left="-120" w:right="-16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59248 Калійний електрод IVD (діагностика in vitro 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(K+)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лектрод 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Hlk157776702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33124130-5 Діагностичне приладдя</w:t>
            </w:r>
            <w:bookmarkEnd w:id="0"/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(К+) електрод призначений для використання у складі  іонселективних аналізаторів електролітів (АЕК-01 „КВЕР”, EL-5 та інших) для визначення показників калію у крові, сироватці, плазмі, сечі та інших розчинах.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ind w:left="-120" w:right="-16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59249 Натрієвий електрод, IVD (діагностика in vitro 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(Na+)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лектрод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33124130-5 Діагностичне приладдя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+) електрод призначений для використання у складі іонселективних аналізаторів електролітів (АЕК-01 „КВЕР”, EL-5 та інших) для визначення показників натрію у крові, сироватці, плазмі, сечі та інших розчинах.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ind w:left="-120" w:right="-16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59240 Хлоридний (Cl-) електрод IVD (діагностика in vitro 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(Cl-)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лектрод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33124130-5 Діагностичне приладдя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-) електрод призначений для використання у складі  іонселективних аналізаторів електролітів (АЕК-01 „КВЕР”, EL-5 та інших) для визначення показників хлору у крові, сироватці, плазмі, сечі та інших розчинах.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ind w:left="-120" w:right="-16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59239 Кальцієвий (Ca2 +) електрод IVD (діагностика in vitro)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(Cа++)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лектрод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33124130-5 Діагностичне приладдя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++) електрод призначений для використання у складі іонселективних аналізаторів електролітів (АЕК-01 „КВЕР”, EL-5 та інших) для визначення показників кальцію у крові, сироватці, плазмі, сечі та інших розчинах.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ind w:left="-120" w:right="-16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59243  Водневий (H +)/pH електрод IVD (діагностика in vitro)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лектрод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33124130-5 Діагностичне приладдя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електрод призначений для використання у складі іонселективних аналізаторів електролітів (АЕК-01 „КВЕР”, EL-5 та інших) для визначення показників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крові, сироватці, плазмі, сечі та інших розчинах.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ind w:left="-120" w:right="-16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59241 Референтний електрод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IVD (діагностика in vitro )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Ref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лектрод</w:t>
            </w:r>
          </w:p>
          <w:bookmarkEnd w:id="1"/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33124130-5 Діагностичне приладдя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Референтний електрод призначений для використання у складі іонселективних аналізаторів електролітів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>
      <w:pPr>
        <w:ind w:left="567"/>
        <w:jc w:val="both"/>
        <w:rPr>
          <w:b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Додати документи (або їх завірені копії), що передбачені чинним законодавством України та дозволяють продаж, постачання і використання реактивів та контрастних речовин, а саме: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1. З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скановані оригінали гарантійних листів виробників або їх офіційних представників (якщо їх повноваження поширюються на територію </w:t>
      </w:r>
      <w:r>
        <w:rPr>
          <w:rFonts w:hint="default" w:ascii="Times New Roman" w:hAnsi="Times New Roman" w:cs="Times New Roman"/>
          <w:sz w:val="24"/>
          <w:szCs w:val="24"/>
        </w:rPr>
        <w:t xml:space="preserve">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терміни. Гарантійний лист повинен містити посилання на повну назву учасника, номер оголошення закупівлі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на офіційному сайті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"http://prozorro.gov.ua/"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16"/>
          <w:rFonts w:hint="default" w:ascii="Times New Roman" w:hAnsi="Times New Roman" w:cs="Times New Roman"/>
          <w:sz w:val="24"/>
          <w:szCs w:val="24"/>
        </w:rPr>
        <w:t>http://prozorro.gov.ua/</w:t>
      </w:r>
      <w:r>
        <w:rPr>
          <w:rStyle w:val="16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При поставці товару надати інструкції з використання реактивів.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Термін придатності на момент поставки повинен бути не менше 80%.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Кожна партія товару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Постачальник самостійно та за свій рахунок проводить доставку до місць використання товару.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Вироби повинні бути 202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- 20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24</w:t>
      </w:r>
      <w:r>
        <w:rPr>
          <w:rFonts w:hint="default" w:ascii="Times New Roman" w:hAnsi="Times New Roman" w:cs="Times New Roman"/>
          <w:sz w:val="24"/>
          <w:szCs w:val="24"/>
        </w:rPr>
        <w:t xml:space="preserve"> року виготовлення.</w:t>
      </w:r>
    </w:p>
    <w:p>
      <w:pPr>
        <w:rPr>
          <w:rFonts w:hint="default"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7.В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пропозицію додати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гарантійний лист від Учасника, яким він підтверджує постачання товарів в необхідній кількості, відповідної якості та в потрібний термін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  <w:lang w:val="ru-RU"/>
        </w:rPr>
        <w:t>.</w:t>
      </w:r>
    </w:p>
    <w:p>
      <w:pPr>
        <w:rPr>
          <w:rFonts w:hint="default" w:ascii="Times New Roman" w:hAnsi="Times New Roman" w:cs="Times New Roman"/>
          <w:color w:val="000000"/>
          <w:spacing w:val="2"/>
          <w:sz w:val="24"/>
          <w:szCs w:val="24"/>
          <w:lang w:val="ru-RU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Symbole Hu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Sans B4 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Sans B7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6"/>
    <w:rsid w:val="000057CB"/>
    <w:rsid w:val="00006035"/>
    <w:rsid w:val="0001676A"/>
    <w:rsid w:val="000167B2"/>
    <w:rsid w:val="0001778C"/>
    <w:rsid w:val="000223B1"/>
    <w:rsid w:val="00022548"/>
    <w:rsid w:val="00024053"/>
    <w:rsid w:val="00026169"/>
    <w:rsid w:val="00026E57"/>
    <w:rsid w:val="00027082"/>
    <w:rsid w:val="000332C3"/>
    <w:rsid w:val="000337A6"/>
    <w:rsid w:val="00034ED1"/>
    <w:rsid w:val="00037162"/>
    <w:rsid w:val="00040679"/>
    <w:rsid w:val="000422DA"/>
    <w:rsid w:val="00043493"/>
    <w:rsid w:val="00046E49"/>
    <w:rsid w:val="0004772C"/>
    <w:rsid w:val="00050890"/>
    <w:rsid w:val="00050C91"/>
    <w:rsid w:val="000521D3"/>
    <w:rsid w:val="00053D11"/>
    <w:rsid w:val="00053E4B"/>
    <w:rsid w:val="000549DD"/>
    <w:rsid w:val="00057F9D"/>
    <w:rsid w:val="00061CA0"/>
    <w:rsid w:val="00067D0B"/>
    <w:rsid w:val="000730FE"/>
    <w:rsid w:val="00073487"/>
    <w:rsid w:val="0007450F"/>
    <w:rsid w:val="00074B8D"/>
    <w:rsid w:val="00085496"/>
    <w:rsid w:val="00086041"/>
    <w:rsid w:val="00087486"/>
    <w:rsid w:val="00090706"/>
    <w:rsid w:val="00091040"/>
    <w:rsid w:val="0009384D"/>
    <w:rsid w:val="000947CB"/>
    <w:rsid w:val="00097B51"/>
    <w:rsid w:val="000A5C89"/>
    <w:rsid w:val="000A604A"/>
    <w:rsid w:val="000B027F"/>
    <w:rsid w:val="000B1942"/>
    <w:rsid w:val="000B254C"/>
    <w:rsid w:val="000B3565"/>
    <w:rsid w:val="000B430A"/>
    <w:rsid w:val="000B58F7"/>
    <w:rsid w:val="000B6588"/>
    <w:rsid w:val="000B6DDF"/>
    <w:rsid w:val="000B73DE"/>
    <w:rsid w:val="000C1BB6"/>
    <w:rsid w:val="000C1C01"/>
    <w:rsid w:val="000C4E98"/>
    <w:rsid w:val="000C63EC"/>
    <w:rsid w:val="000D05E1"/>
    <w:rsid w:val="000D405F"/>
    <w:rsid w:val="000D483E"/>
    <w:rsid w:val="000D4CBD"/>
    <w:rsid w:val="000D5D3E"/>
    <w:rsid w:val="000E14A6"/>
    <w:rsid w:val="000E169B"/>
    <w:rsid w:val="000E26BE"/>
    <w:rsid w:val="000E543F"/>
    <w:rsid w:val="000E5491"/>
    <w:rsid w:val="000E65B7"/>
    <w:rsid w:val="000F2416"/>
    <w:rsid w:val="000F2DD4"/>
    <w:rsid w:val="000F691C"/>
    <w:rsid w:val="000F71FD"/>
    <w:rsid w:val="0010186E"/>
    <w:rsid w:val="00103AEE"/>
    <w:rsid w:val="00103B81"/>
    <w:rsid w:val="00110671"/>
    <w:rsid w:val="00112A0B"/>
    <w:rsid w:val="00113615"/>
    <w:rsid w:val="00117CDB"/>
    <w:rsid w:val="001224AA"/>
    <w:rsid w:val="0012253A"/>
    <w:rsid w:val="00127C47"/>
    <w:rsid w:val="00132790"/>
    <w:rsid w:val="0013541A"/>
    <w:rsid w:val="00136AAD"/>
    <w:rsid w:val="00137571"/>
    <w:rsid w:val="0014062E"/>
    <w:rsid w:val="00141272"/>
    <w:rsid w:val="00144335"/>
    <w:rsid w:val="00144582"/>
    <w:rsid w:val="00145CB8"/>
    <w:rsid w:val="001466DA"/>
    <w:rsid w:val="00150B9D"/>
    <w:rsid w:val="001535B4"/>
    <w:rsid w:val="00154414"/>
    <w:rsid w:val="00154F6B"/>
    <w:rsid w:val="001556D6"/>
    <w:rsid w:val="001560F2"/>
    <w:rsid w:val="00157126"/>
    <w:rsid w:val="00171A7B"/>
    <w:rsid w:val="00173806"/>
    <w:rsid w:val="00174162"/>
    <w:rsid w:val="001745A1"/>
    <w:rsid w:val="0017552C"/>
    <w:rsid w:val="001760D7"/>
    <w:rsid w:val="00177592"/>
    <w:rsid w:val="00177A58"/>
    <w:rsid w:val="00181ED3"/>
    <w:rsid w:val="001847A7"/>
    <w:rsid w:val="00184DE4"/>
    <w:rsid w:val="00185253"/>
    <w:rsid w:val="00186BCF"/>
    <w:rsid w:val="0018799B"/>
    <w:rsid w:val="00187CB7"/>
    <w:rsid w:val="00191102"/>
    <w:rsid w:val="00192155"/>
    <w:rsid w:val="001962B7"/>
    <w:rsid w:val="00196825"/>
    <w:rsid w:val="00197A03"/>
    <w:rsid w:val="001A190E"/>
    <w:rsid w:val="001A4107"/>
    <w:rsid w:val="001A7137"/>
    <w:rsid w:val="001B1725"/>
    <w:rsid w:val="001B24A1"/>
    <w:rsid w:val="001B2AD1"/>
    <w:rsid w:val="001C123A"/>
    <w:rsid w:val="001C34E4"/>
    <w:rsid w:val="001C3EF8"/>
    <w:rsid w:val="001C50A5"/>
    <w:rsid w:val="001C50D5"/>
    <w:rsid w:val="001D3F61"/>
    <w:rsid w:val="001D631C"/>
    <w:rsid w:val="001D6967"/>
    <w:rsid w:val="001D6EC0"/>
    <w:rsid w:val="001D7E69"/>
    <w:rsid w:val="001E1BB5"/>
    <w:rsid w:val="001E2920"/>
    <w:rsid w:val="001E389A"/>
    <w:rsid w:val="001E59D2"/>
    <w:rsid w:val="001E706A"/>
    <w:rsid w:val="001F1813"/>
    <w:rsid w:val="001F6363"/>
    <w:rsid w:val="001F7529"/>
    <w:rsid w:val="00204E76"/>
    <w:rsid w:val="00205396"/>
    <w:rsid w:val="0021038F"/>
    <w:rsid w:val="00211AB8"/>
    <w:rsid w:val="00213ECF"/>
    <w:rsid w:val="002140E5"/>
    <w:rsid w:val="002149E0"/>
    <w:rsid w:val="002173DF"/>
    <w:rsid w:val="002256EB"/>
    <w:rsid w:val="00232604"/>
    <w:rsid w:val="00240295"/>
    <w:rsid w:val="002519F0"/>
    <w:rsid w:val="00251F37"/>
    <w:rsid w:val="0025279A"/>
    <w:rsid w:val="0025354E"/>
    <w:rsid w:val="00253E79"/>
    <w:rsid w:val="0025788B"/>
    <w:rsid w:val="002635EA"/>
    <w:rsid w:val="002666D1"/>
    <w:rsid w:val="00266D1D"/>
    <w:rsid w:val="002675D3"/>
    <w:rsid w:val="0027292E"/>
    <w:rsid w:val="00272D74"/>
    <w:rsid w:val="002759E4"/>
    <w:rsid w:val="00281557"/>
    <w:rsid w:val="00281838"/>
    <w:rsid w:val="002819A0"/>
    <w:rsid w:val="00281DFD"/>
    <w:rsid w:val="00283193"/>
    <w:rsid w:val="00284FEC"/>
    <w:rsid w:val="00290449"/>
    <w:rsid w:val="002A1E58"/>
    <w:rsid w:val="002A20D3"/>
    <w:rsid w:val="002A55C9"/>
    <w:rsid w:val="002A6330"/>
    <w:rsid w:val="002B0170"/>
    <w:rsid w:val="002B08C7"/>
    <w:rsid w:val="002B0FE0"/>
    <w:rsid w:val="002B216C"/>
    <w:rsid w:val="002B43C9"/>
    <w:rsid w:val="002B572B"/>
    <w:rsid w:val="002B6E45"/>
    <w:rsid w:val="002C156F"/>
    <w:rsid w:val="002C1C0C"/>
    <w:rsid w:val="002C7471"/>
    <w:rsid w:val="002D1ED8"/>
    <w:rsid w:val="002D3688"/>
    <w:rsid w:val="002D450C"/>
    <w:rsid w:val="002D622D"/>
    <w:rsid w:val="002D643D"/>
    <w:rsid w:val="002D7092"/>
    <w:rsid w:val="002E4606"/>
    <w:rsid w:val="002F1B0A"/>
    <w:rsid w:val="002F392C"/>
    <w:rsid w:val="002F7931"/>
    <w:rsid w:val="00303E1D"/>
    <w:rsid w:val="00314BE7"/>
    <w:rsid w:val="00315DF7"/>
    <w:rsid w:val="00325FF8"/>
    <w:rsid w:val="00331444"/>
    <w:rsid w:val="003342E0"/>
    <w:rsid w:val="00335FA0"/>
    <w:rsid w:val="00336803"/>
    <w:rsid w:val="00342012"/>
    <w:rsid w:val="003430C1"/>
    <w:rsid w:val="00345007"/>
    <w:rsid w:val="00345B6B"/>
    <w:rsid w:val="00347604"/>
    <w:rsid w:val="00352501"/>
    <w:rsid w:val="00364B80"/>
    <w:rsid w:val="00371243"/>
    <w:rsid w:val="003725C8"/>
    <w:rsid w:val="00373871"/>
    <w:rsid w:val="00375FAF"/>
    <w:rsid w:val="0037664E"/>
    <w:rsid w:val="00380A19"/>
    <w:rsid w:val="00380D4F"/>
    <w:rsid w:val="0038515C"/>
    <w:rsid w:val="003909FF"/>
    <w:rsid w:val="00391CF8"/>
    <w:rsid w:val="003924DD"/>
    <w:rsid w:val="00393400"/>
    <w:rsid w:val="003A098B"/>
    <w:rsid w:val="003A192F"/>
    <w:rsid w:val="003A2E21"/>
    <w:rsid w:val="003A435D"/>
    <w:rsid w:val="003A5E0E"/>
    <w:rsid w:val="003A6EF4"/>
    <w:rsid w:val="003B0311"/>
    <w:rsid w:val="003B256A"/>
    <w:rsid w:val="003B36A4"/>
    <w:rsid w:val="003B50F9"/>
    <w:rsid w:val="003B6D0E"/>
    <w:rsid w:val="003B7C9F"/>
    <w:rsid w:val="003C0397"/>
    <w:rsid w:val="003C4235"/>
    <w:rsid w:val="003D077B"/>
    <w:rsid w:val="003D19EF"/>
    <w:rsid w:val="003D23A0"/>
    <w:rsid w:val="003D5E2D"/>
    <w:rsid w:val="003E212A"/>
    <w:rsid w:val="003E3D14"/>
    <w:rsid w:val="003E3E66"/>
    <w:rsid w:val="00400DC0"/>
    <w:rsid w:val="00400FB4"/>
    <w:rsid w:val="00401F50"/>
    <w:rsid w:val="00402571"/>
    <w:rsid w:val="00402F9F"/>
    <w:rsid w:val="00404C75"/>
    <w:rsid w:val="00405E58"/>
    <w:rsid w:val="004105D8"/>
    <w:rsid w:val="004136A4"/>
    <w:rsid w:val="004146BF"/>
    <w:rsid w:val="00415378"/>
    <w:rsid w:val="0041587F"/>
    <w:rsid w:val="0041650D"/>
    <w:rsid w:val="004207CC"/>
    <w:rsid w:val="00421B13"/>
    <w:rsid w:val="004332EA"/>
    <w:rsid w:val="004343F0"/>
    <w:rsid w:val="00435481"/>
    <w:rsid w:val="00442D5A"/>
    <w:rsid w:val="00443207"/>
    <w:rsid w:val="004439B5"/>
    <w:rsid w:val="00450FDC"/>
    <w:rsid w:val="00452705"/>
    <w:rsid w:val="004537AC"/>
    <w:rsid w:val="00453FF5"/>
    <w:rsid w:val="00454E95"/>
    <w:rsid w:val="0045590F"/>
    <w:rsid w:val="00455A78"/>
    <w:rsid w:val="004605B9"/>
    <w:rsid w:val="00461A30"/>
    <w:rsid w:val="00461CB7"/>
    <w:rsid w:val="00464213"/>
    <w:rsid w:val="00464CF0"/>
    <w:rsid w:val="00465287"/>
    <w:rsid w:val="0046549F"/>
    <w:rsid w:val="0047065A"/>
    <w:rsid w:val="00472640"/>
    <w:rsid w:val="0047267B"/>
    <w:rsid w:val="00472794"/>
    <w:rsid w:val="0047279B"/>
    <w:rsid w:val="00475176"/>
    <w:rsid w:val="00475502"/>
    <w:rsid w:val="00476244"/>
    <w:rsid w:val="0047640C"/>
    <w:rsid w:val="004768DE"/>
    <w:rsid w:val="00477BE9"/>
    <w:rsid w:val="004809ED"/>
    <w:rsid w:val="0048186C"/>
    <w:rsid w:val="00483288"/>
    <w:rsid w:val="00484AF5"/>
    <w:rsid w:val="0048748F"/>
    <w:rsid w:val="00487D0E"/>
    <w:rsid w:val="00487F77"/>
    <w:rsid w:val="004937A4"/>
    <w:rsid w:val="004A335B"/>
    <w:rsid w:val="004A54C5"/>
    <w:rsid w:val="004A5643"/>
    <w:rsid w:val="004B2847"/>
    <w:rsid w:val="004B2D7D"/>
    <w:rsid w:val="004B31E2"/>
    <w:rsid w:val="004C0052"/>
    <w:rsid w:val="004C2BDB"/>
    <w:rsid w:val="004C575A"/>
    <w:rsid w:val="004C75FE"/>
    <w:rsid w:val="004D2B81"/>
    <w:rsid w:val="004D2CA4"/>
    <w:rsid w:val="004D2F7D"/>
    <w:rsid w:val="004D3427"/>
    <w:rsid w:val="004D3463"/>
    <w:rsid w:val="004D5295"/>
    <w:rsid w:val="004D6BF5"/>
    <w:rsid w:val="004E13FB"/>
    <w:rsid w:val="004E2850"/>
    <w:rsid w:val="004E3CA4"/>
    <w:rsid w:val="004E5D5B"/>
    <w:rsid w:val="004F1678"/>
    <w:rsid w:val="004F29BD"/>
    <w:rsid w:val="004F469E"/>
    <w:rsid w:val="004F4EDE"/>
    <w:rsid w:val="004F7A8F"/>
    <w:rsid w:val="0050322A"/>
    <w:rsid w:val="00504AF8"/>
    <w:rsid w:val="005057F3"/>
    <w:rsid w:val="00507C2D"/>
    <w:rsid w:val="005117F3"/>
    <w:rsid w:val="00511D59"/>
    <w:rsid w:val="005150A9"/>
    <w:rsid w:val="0051596C"/>
    <w:rsid w:val="00516891"/>
    <w:rsid w:val="00517369"/>
    <w:rsid w:val="005200AF"/>
    <w:rsid w:val="00521197"/>
    <w:rsid w:val="005213B8"/>
    <w:rsid w:val="00522CB2"/>
    <w:rsid w:val="00526C7C"/>
    <w:rsid w:val="00531FEC"/>
    <w:rsid w:val="0053222B"/>
    <w:rsid w:val="00540455"/>
    <w:rsid w:val="00542C70"/>
    <w:rsid w:val="00555086"/>
    <w:rsid w:val="0055529B"/>
    <w:rsid w:val="0056318F"/>
    <w:rsid w:val="00563721"/>
    <w:rsid w:val="00563AD5"/>
    <w:rsid w:val="00567AA2"/>
    <w:rsid w:val="00574C05"/>
    <w:rsid w:val="00581D58"/>
    <w:rsid w:val="00581EF0"/>
    <w:rsid w:val="005871F6"/>
    <w:rsid w:val="005903ED"/>
    <w:rsid w:val="00591815"/>
    <w:rsid w:val="00594C65"/>
    <w:rsid w:val="00596DB1"/>
    <w:rsid w:val="005A0AA8"/>
    <w:rsid w:val="005A63CC"/>
    <w:rsid w:val="005A7FBB"/>
    <w:rsid w:val="005B14DB"/>
    <w:rsid w:val="005B38DF"/>
    <w:rsid w:val="005B7D20"/>
    <w:rsid w:val="005C11AE"/>
    <w:rsid w:val="005C2BAB"/>
    <w:rsid w:val="005C38ED"/>
    <w:rsid w:val="005C3E87"/>
    <w:rsid w:val="005D5087"/>
    <w:rsid w:val="005D59B7"/>
    <w:rsid w:val="005D6A92"/>
    <w:rsid w:val="005E2998"/>
    <w:rsid w:val="005E4384"/>
    <w:rsid w:val="005E7661"/>
    <w:rsid w:val="005F0398"/>
    <w:rsid w:val="005F1D30"/>
    <w:rsid w:val="005F7A28"/>
    <w:rsid w:val="00601D7A"/>
    <w:rsid w:val="00603DE5"/>
    <w:rsid w:val="0060436D"/>
    <w:rsid w:val="006059DC"/>
    <w:rsid w:val="00605B28"/>
    <w:rsid w:val="00605C49"/>
    <w:rsid w:val="006064FC"/>
    <w:rsid w:val="006110C3"/>
    <w:rsid w:val="006117F5"/>
    <w:rsid w:val="00612E03"/>
    <w:rsid w:val="0061565B"/>
    <w:rsid w:val="006156C6"/>
    <w:rsid w:val="00615C5D"/>
    <w:rsid w:val="00615F49"/>
    <w:rsid w:val="00617871"/>
    <w:rsid w:val="006201A7"/>
    <w:rsid w:val="00622345"/>
    <w:rsid w:val="0062250E"/>
    <w:rsid w:val="00622ABA"/>
    <w:rsid w:val="00623A27"/>
    <w:rsid w:val="00624055"/>
    <w:rsid w:val="006255AB"/>
    <w:rsid w:val="0062681E"/>
    <w:rsid w:val="006302E9"/>
    <w:rsid w:val="00631F5E"/>
    <w:rsid w:val="00640AA9"/>
    <w:rsid w:val="00643ECE"/>
    <w:rsid w:val="006465B6"/>
    <w:rsid w:val="0064692E"/>
    <w:rsid w:val="00646C2B"/>
    <w:rsid w:val="00647AF3"/>
    <w:rsid w:val="00653A34"/>
    <w:rsid w:val="006551B3"/>
    <w:rsid w:val="006555FB"/>
    <w:rsid w:val="00655997"/>
    <w:rsid w:val="00656123"/>
    <w:rsid w:val="006620F8"/>
    <w:rsid w:val="00662101"/>
    <w:rsid w:val="0066292E"/>
    <w:rsid w:val="00666504"/>
    <w:rsid w:val="0067044C"/>
    <w:rsid w:val="00673BDA"/>
    <w:rsid w:val="00673C59"/>
    <w:rsid w:val="00676193"/>
    <w:rsid w:val="006767A3"/>
    <w:rsid w:val="00676B2E"/>
    <w:rsid w:val="00676C54"/>
    <w:rsid w:val="00681A46"/>
    <w:rsid w:val="00684693"/>
    <w:rsid w:val="00684F50"/>
    <w:rsid w:val="00691455"/>
    <w:rsid w:val="006921ED"/>
    <w:rsid w:val="0069383A"/>
    <w:rsid w:val="00695033"/>
    <w:rsid w:val="006952FF"/>
    <w:rsid w:val="00695D7F"/>
    <w:rsid w:val="00696966"/>
    <w:rsid w:val="00696B84"/>
    <w:rsid w:val="00697A0A"/>
    <w:rsid w:val="006A0B79"/>
    <w:rsid w:val="006A2658"/>
    <w:rsid w:val="006A6BE6"/>
    <w:rsid w:val="006B0B3E"/>
    <w:rsid w:val="006B0EBD"/>
    <w:rsid w:val="006B1396"/>
    <w:rsid w:val="006B246F"/>
    <w:rsid w:val="006B2600"/>
    <w:rsid w:val="006B3C32"/>
    <w:rsid w:val="006C1616"/>
    <w:rsid w:val="006C2433"/>
    <w:rsid w:val="006C7080"/>
    <w:rsid w:val="006C7174"/>
    <w:rsid w:val="006C7D4C"/>
    <w:rsid w:val="006D377C"/>
    <w:rsid w:val="006D4254"/>
    <w:rsid w:val="006D6709"/>
    <w:rsid w:val="006E086C"/>
    <w:rsid w:val="006E13CC"/>
    <w:rsid w:val="006E1C92"/>
    <w:rsid w:val="006E3DE8"/>
    <w:rsid w:val="006E4997"/>
    <w:rsid w:val="006E6788"/>
    <w:rsid w:val="006F026D"/>
    <w:rsid w:val="006F2352"/>
    <w:rsid w:val="006F2A80"/>
    <w:rsid w:val="006F3695"/>
    <w:rsid w:val="006F3858"/>
    <w:rsid w:val="006F3B77"/>
    <w:rsid w:val="006F53B4"/>
    <w:rsid w:val="006F6259"/>
    <w:rsid w:val="006F7204"/>
    <w:rsid w:val="0070040E"/>
    <w:rsid w:val="0070309A"/>
    <w:rsid w:val="00703B78"/>
    <w:rsid w:val="0071126B"/>
    <w:rsid w:val="007133B3"/>
    <w:rsid w:val="00714066"/>
    <w:rsid w:val="007140E3"/>
    <w:rsid w:val="00716018"/>
    <w:rsid w:val="00721587"/>
    <w:rsid w:val="007219D2"/>
    <w:rsid w:val="00721F6F"/>
    <w:rsid w:val="00722B28"/>
    <w:rsid w:val="0072406F"/>
    <w:rsid w:val="00725CAA"/>
    <w:rsid w:val="00725E60"/>
    <w:rsid w:val="0073072B"/>
    <w:rsid w:val="00731507"/>
    <w:rsid w:val="007367C9"/>
    <w:rsid w:val="007372C2"/>
    <w:rsid w:val="00740710"/>
    <w:rsid w:val="00745DE5"/>
    <w:rsid w:val="00747AC5"/>
    <w:rsid w:val="007520E1"/>
    <w:rsid w:val="007564D6"/>
    <w:rsid w:val="00757ADC"/>
    <w:rsid w:val="00761F5A"/>
    <w:rsid w:val="0077022C"/>
    <w:rsid w:val="00771B08"/>
    <w:rsid w:val="00776CC9"/>
    <w:rsid w:val="00776DFC"/>
    <w:rsid w:val="00784355"/>
    <w:rsid w:val="00790B9B"/>
    <w:rsid w:val="00791043"/>
    <w:rsid w:val="007911DA"/>
    <w:rsid w:val="0079259F"/>
    <w:rsid w:val="007A0DD5"/>
    <w:rsid w:val="007A15CA"/>
    <w:rsid w:val="007A30A5"/>
    <w:rsid w:val="007A429E"/>
    <w:rsid w:val="007A4F57"/>
    <w:rsid w:val="007A6AAB"/>
    <w:rsid w:val="007B0F7E"/>
    <w:rsid w:val="007B3082"/>
    <w:rsid w:val="007B35F5"/>
    <w:rsid w:val="007B7727"/>
    <w:rsid w:val="007B78F5"/>
    <w:rsid w:val="007C0434"/>
    <w:rsid w:val="007C2216"/>
    <w:rsid w:val="007C45F1"/>
    <w:rsid w:val="007C4642"/>
    <w:rsid w:val="007D201B"/>
    <w:rsid w:val="007D3545"/>
    <w:rsid w:val="007D4099"/>
    <w:rsid w:val="007D5B00"/>
    <w:rsid w:val="007E0268"/>
    <w:rsid w:val="007E1660"/>
    <w:rsid w:val="007E2103"/>
    <w:rsid w:val="007E3D8D"/>
    <w:rsid w:val="007E6CBB"/>
    <w:rsid w:val="007E7A16"/>
    <w:rsid w:val="007F102F"/>
    <w:rsid w:val="007F16E1"/>
    <w:rsid w:val="007F4BD4"/>
    <w:rsid w:val="007F601C"/>
    <w:rsid w:val="007F718A"/>
    <w:rsid w:val="00802D50"/>
    <w:rsid w:val="00804EF6"/>
    <w:rsid w:val="0080558F"/>
    <w:rsid w:val="008057F1"/>
    <w:rsid w:val="00807ABB"/>
    <w:rsid w:val="00810D30"/>
    <w:rsid w:val="00811179"/>
    <w:rsid w:val="00811512"/>
    <w:rsid w:val="0081172D"/>
    <w:rsid w:val="00812909"/>
    <w:rsid w:val="008162D0"/>
    <w:rsid w:val="0081671C"/>
    <w:rsid w:val="00817889"/>
    <w:rsid w:val="00817C0A"/>
    <w:rsid w:val="00820A62"/>
    <w:rsid w:val="008236AA"/>
    <w:rsid w:val="00824112"/>
    <w:rsid w:val="0082484F"/>
    <w:rsid w:val="00831276"/>
    <w:rsid w:val="00832033"/>
    <w:rsid w:val="008328F1"/>
    <w:rsid w:val="00833EB7"/>
    <w:rsid w:val="00835310"/>
    <w:rsid w:val="0084788B"/>
    <w:rsid w:val="00847DAC"/>
    <w:rsid w:val="00847ED1"/>
    <w:rsid w:val="00850980"/>
    <w:rsid w:val="00851F34"/>
    <w:rsid w:val="008547F7"/>
    <w:rsid w:val="00854F32"/>
    <w:rsid w:val="008563D9"/>
    <w:rsid w:val="0086094A"/>
    <w:rsid w:val="00865FCC"/>
    <w:rsid w:val="00867583"/>
    <w:rsid w:val="008727FF"/>
    <w:rsid w:val="008738EA"/>
    <w:rsid w:val="00874617"/>
    <w:rsid w:val="00877326"/>
    <w:rsid w:val="00881C68"/>
    <w:rsid w:val="00882B26"/>
    <w:rsid w:val="00882DF7"/>
    <w:rsid w:val="0089422E"/>
    <w:rsid w:val="00895ED4"/>
    <w:rsid w:val="008963A7"/>
    <w:rsid w:val="00897A05"/>
    <w:rsid w:val="008A011E"/>
    <w:rsid w:val="008A0175"/>
    <w:rsid w:val="008A141C"/>
    <w:rsid w:val="008A35D7"/>
    <w:rsid w:val="008A3889"/>
    <w:rsid w:val="008B173C"/>
    <w:rsid w:val="008B1859"/>
    <w:rsid w:val="008B644C"/>
    <w:rsid w:val="008C1784"/>
    <w:rsid w:val="008C354A"/>
    <w:rsid w:val="008C66A2"/>
    <w:rsid w:val="008D0D3C"/>
    <w:rsid w:val="008D71A3"/>
    <w:rsid w:val="008D746D"/>
    <w:rsid w:val="008E0DF8"/>
    <w:rsid w:val="008E6206"/>
    <w:rsid w:val="008E6692"/>
    <w:rsid w:val="008E7771"/>
    <w:rsid w:val="008F1B7A"/>
    <w:rsid w:val="008F3E23"/>
    <w:rsid w:val="008F5948"/>
    <w:rsid w:val="008F628F"/>
    <w:rsid w:val="008F6B51"/>
    <w:rsid w:val="008F7677"/>
    <w:rsid w:val="0090045D"/>
    <w:rsid w:val="00900B8C"/>
    <w:rsid w:val="009018B6"/>
    <w:rsid w:val="00901B07"/>
    <w:rsid w:val="00903A30"/>
    <w:rsid w:val="00904BE2"/>
    <w:rsid w:val="00907A5F"/>
    <w:rsid w:val="0091075D"/>
    <w:rsid w:val="00910F78"/>
    <w:rsid w:val="0091105B"/>
    <w:rsid w:val="009159E9"/>
    <w:rsid w:val="00920A48"/>
    <w:rsid w:val="00920E23"/>
    <w:rsid w:val="00921D61"/>
    <w:rsid w:val="009242BE"/>
    <w:rsid w:val="009248B9"/>
    <w:rsid w:val="0092504F"/>
    <w:rsid w:val="009257A9"/>
    <w:rsid w:val="00925E0C"/>
    <w:rsid w:val="00926D7F"/>
    <w:rsid w:val="00935055"/>
    <w:rsid w:val="00936F14"/>
    <w:rsid w:val="0093757B"/>
    <w:rsid w:val="00940395"/>
    <w:rsid w:val="0094297C"/>
    <w:rsid w:val="009450E9"/>
    <w:rsid w:val="0094536C"/>
    <w:rsid w:val="00946024"/>
    <w:rsid w:val="00946FB2"/>
    <w:rsid w:val="0094790F"/>
    <w:rsid w:val="00950D7E"/>
    <w:rsid w:val="00954262"/>
    <w:rsid w:val="009604DA"/>
    <w:rsid w:val="00962B5F"/>
    <w:rsid w:val="00963893"/>
    <w:rsid w:val="00965738"/>
    <w:rsid w:val="00970198"/>
    <w:rsid w:val="00971B87"/>
    <w:rsid w:val="0097346A"/>
    <w:rsid w:val="00974C65"/>
    <w:rsid w:val="00976E58"/>
    <w:rsid w:val="009811AE"/>
    <w:rsid w:val="00981DCF"/>
    <w:rsid w:val="00982E42"/>
    <w:rsid w:val="009838BC"/>
    <w:rsid w:val="009852DF"/>
    <w:rsid w:val="00987981"/>
    <w:rsid w:val="00992D17"/>
    <w:rsid w:val="009931E5"/>
    <w:rsid w:val="009933BF"/>
    <w:rsid w:val="0099618E"/>
    <w:rsid w:val="00996804"/>
    <w:rsid w:val="00997D92"/>
    <w:rsid w:val="009A01CE"/>
    <w:rsid w:val="009A086F"/>
    <w:rsid w:val="009A0A6F"/>
    <w:rsid w:val="009A420C"/>
    <w:rsid w:val="009A5064"/>
    <w:rsid w:val="009A6D7C"/>
    <w:rsid w:val="009A6F02"/>
    <w:rsid w:val="009B0E18"/>
    <w:rsid w:val="009B155C"/>
    <w:rsid w:val="009B2DA6"/>
    <w:rsid w:val="009B3232"/>
    <w:rsid w:val="009C015B"/>
    <w:rsid w:val="009C6071"/>
    <w:rsid w:val="009C79D7"/>
    <w:rsid w:val="009D2C6A"/>
    <w:rsid w:val="009D42D5"/>
    <w:rsid w:val="009E1397"/>
    <w:rsid w:val="009E4D9A"/>
    <w:rsid w:val="009E51C8"/>
    <w:rsid w:val="009F1C35"/>
    <w:rsid w:val="009F52BD"/>
    <w:rsid w:val="00A0051B"/>
    <w:rsid w:val="00A02498"/>
    <w:rsid w:val="00A02925"/>
    <w:rsid w:val="00A10D0E"/>
    <w:rsid w:val="00A11E6E"/>
    <w:rsid w:val="00A1322B"/>
    <w:rsid w:val="00A13FFF"/>
    <w:rsid w:val="00A14F9B"/>
    <w:rsid w:val="00A16FD3"/>
    <w:rsid w:val="00A239FB"/>
    <w:rsid w:val="00A26EAF"/>
    <w:rsid w:val="00A2795F"/>
    <w:rsid w:val="00A3036A"/>
    <w:rsid w:val="00A32508"/>
    <w:rsid w:val="00A32EA9"/>
    <w:rsid w:val="00A33879"/>
    <w:rsid w:val="00A33BBC"/>
    <w:rsid w:val="00A4098F"/>
    <w:rsid w:val="00A40D18"/>
    <w:rsid w:val="00A40D75"/>
    <w:rsid w:val="00A47255"/>
    <w:rsid w:val="00A52705"/>
    <w:rsid w:val="00A543A2"/>
    <w:rsid w:val="00A56455"/>
    <w:rsid w:val="00A57B6C"/>
    <w:rsid w:val="00A60278"/>
    <w:rsid w:val="00A62F0C"/>
    <w:rsid w:val="00A63F6D"/>
    <w:rsid w:val="00A7139B"/>
    <w:rsid w:val="00A737F3"/>
    <w:rsid w:val="00A73934"/>
    <w:rsid w:val="00A8334F"/>
    <w:rsid w:val="00A840CE"/>
    <w:rsid w:val="00A84A4C"/>
    <w:rsid w:val="00A85900"/>
    <w:rsid w:val="00A859A8"/>
    <w:rsid w:val="00A86129"/>
    <w:rsid w:val="00A877E5"/>
    <w:rsid w:val="00A911A2"/>
    <w:rsid w:val="00A922A7"/>
    <w:rsid w:val="00A94627"/>
    <w:rsid w:val="00A96266"/>
    <w:rsid w:val="00AA14BE"/>
    <w:rsid w:val="00AA242C"/>
    <w:rsid w:val="00AB4666"/>
    <w:rsid w:val="00AB7093"/>
    <w:rsid w:val="00AC0210"/>
    <w:rsid w:val="00AC09B9"/>
    <w:rsid w:val="00AC2D90"/>
    <w:rsid w:val="00AD2662"/>
    <w:rsid w:val="00AE3D17"/>
    <w:rsid w:val="00AE4FAF"/>
    <w:rsid w:val="00AF401F"/>
    <w:rsid w:val="00AF4ED4"/>
    <w:rsid w:val="00AF58B5"/>
    <w:rsid w:val="00AF68A1"/>
    <w:rsid w:val="00AF6F0C"/>
    <w:rsid w:val="00B02611"/>
    <w:rsid w:val="00B05B15"/>
    <w:rsid w:val="00B074CA"/>
    <w:rsid w:val="00B142AB"/>
    <w:rsid w:val="00B173F8"/>
    <w:rsid w:val="00B24FDA"/>
    <w:rsid w:val="00B26816"/>
    <w:rsid w:val="00B270EB"/>
    <w:rsid w:val="00B30C1D"/>
    <w:rsid w:val="00B34354"/>
    <w:rsid w:val="00B430E8"/>
    <w:rsid w:val="00B454CC"/>
    <w:rsid w:val="00B4656B"/>
    <w:rsid w:val="00B467A4"/>
    <w:rsid w:val="00B46A16"/>
    <w:rsid w:val="00B47B56"/>
    <w:rsid w:val="00B512BD"/>
    <w:rsid w:val="00B5222B"/>
    <w:rsid w:val="00B54BCD"/>
    <w:rsid w:val="00B55EE8"/>
    <w:rsid w:val="00B564C7"/>
    <w:rsid w:val="00B56AA8"/>
    <w:rsid w:val="00B56EF3"/>
    <w:rsid w:val="00B57D64"/>
    <w:rsid w:val="00B61682"/>
    <w:rsid w:val="00B618E8"/>
    <w:rsid w:val="00B63C01"/>
    <w:rsid w:val="00B67358"/>
    <w:rsid w:val="00B67799"/>
    <w:rsid w:val="00B70F80"/>
    <w:rsid w:val="00B72955"/>
    <w:rsid w:val="00B73398"/>
    <w:rsid w:val="00B74BFA"/>
    <w:rsid w:val="00B77422"/>
    <w:rsid w:val="00B818C2"/>
    <w:rsid w:val="00B82AA9"/>
    <w:rsid w:val="00B83822"/>
    <w:rsid w:val="00B84F9A"/>
    <w:rsid w:val="00B85343"/>
    <w:rsid w:val="00B9030E"/>
    <w:rsid w:val="00B91686"/>
    <w:rsid w:val="00B93D3E"/>
    <w:rsid w:val="00B93F1F"/>
    <w:rsid w:val="00B95DE3"/>
    <w:rsid w:val="00BA1517"/>
    <w:rsid w:val="00BA1669"/>
    <w:rsid w:val="00BA303C"/>
    <w:rsid w:val="00BA3D72"/>
    <w:rsid w:val="00BA5DD3"/>
    <w:rsid w:val="00BA5DEB"/>
    <w:rsid w:val="00BB251E"/>
    <w:rsid w:val="00BB39CB"/>
    <w:rsid w:val="00BB6D1D"/>
    <w:rsid w:val="00BB7FE6"/>
    <w:rsid w:val="00BC32F5"/>
    <w:rsid w:val="00BC5048"/>
    <w:rsid w:val="00BC71AC"/>
    <w:rsid w:val="00BC7542"/>
    <w:rsid w:val="00BD086D"/>
    <w:rsid w:val="00BD28CD"/>
    <w:rsid w:val="00BD5038"/>
    <w:rsid w:val="00BD770C"/>
    <w:rsid w:val="00BD7C80"/>
    <w:rsid w:val="00BD7E9F"/>
    <w:rsid w:val="00BD7EDA"/>
    <w:rsid w:val="00BE0563"/>
    <w:rsid w:val="00BE36BE"/>
    <w:rsid w:val="00BE45FF"/>
    <w:rsid w:val="00BE66E1"/>
    <w:rsid w:val="00C03C6C"/>
    <w:rsid w:val="00C07543"/>
    <w:rsid w:val="00C10B55"/>
    <w:rsid w:val="00C12DE3"/>
    <w:rsid w:val="00C1450E"/>
    <w:rsid w:val="00C20E27"/>
    <w:rsid w:val="00C22B9D"/>
    <w:rsid w:val="00C2710A"/>
    <w:rsid w:val="00C319D2"/>
    <w:rsid w:val="00C3214A"/>
    <w:rsid w:val="00C329E9"/>
    <w:rsid w:val="00C35401"/>
    <w:rsid w:val="00C37249"/>
    <w:rsid w:val="00C37337"/>
    <w:rsid w:val="00C37C35"/>
    <w:rsid w:val="00C40C3E"/>
    <w:rsid w:val="00C415F9"/>
    <w:rsid w:val="00C444CD"/>
    <w:rsid w:val="00C45E15"/>
    <w:rsid w:val="00C477C6"/>
    <w:rsid w:val="00C53AB8"/>
    <w:rsid w:val="00C559FF"/>
    <w:rsid w:val="00C576F0"/>
    <w:rsid w:val="00C60D55"/>
    <w:rsid w:val="00C62135"/>
    <w:rsid w:val="00C65A5A"/>
    <w:rsid w:val="00C66737"/>
    <w:rsid w:val="00C67DA4"/>
    <w:rsid w:val="00C71014"/>
    <w:rsid w:val="00C721FC"/>
    <w:rsid w:val="00C817AB"/>
    <w:rsid w:val="00C81D04"/>
    <w:rsid w:val="00C843DA"/>
    <w:rsid w:val="00C872C2"/>
    <w:rsid w:val="00C91301"/>
    <w:rsid w:val="00C925F0"/>
    <w:rsid w:val="00C96BDA"/>
    <w:rsid w:val="00C96C97"/>
    <w:rsid w:val="00CA02D0"/>
    <w:rsid w:val="00CA035B"/>
    <w:rsid w:val="00CA0AF5"/>
    <w:rsid w:val="00CA341C"/>
    <w:rsid w:val="00CA73DE"/>
    <w:rsid w:val="00CA74E2"/>
    <w:rsid w:val="00CB099C"/>
    <w:rsid w:val="00CB1326"/>
    <w:rsid w:val="00CB4962"/>
    <w:rsid w:val="00CB4C4D"/>
    <w:rsid w:val="00CB523F"/>
    <w:rsid w:val="00CB75EB"/>
    <w:rsid w:val="00CC0AEC"/>
    <w:rsid w:val="00CC0B42"/>
    <w:rsid w:val="00CC3AA9"/>
    <w:rsid w:val="00CC5056"/>
    <w:rsid w:val="00CC6A42"/>
    <w:rsid w:val="00CD317D"/>
    <w:rsid w:val="00CD3B40"/>
    <w:rsid w:val="00CD477D"/>
    <w:rsid w:val="00CD5373"/>
    <w:rsid w:val="00CD7292"/>
    <w:rsid w:val="00CE059E"/>
    <w:rsid w:val="00CE1E16"/>
    <w:rsid w:val="00CE2C10"/>
    <w:rsid w:val="00CE3DAC"/>
    <w:rsid w:val="00CE4BA8"/>
    <w:rsid w:val="00CE5437"/>
    <w:rsid w:val="00CE5871"/>
    <w:rsid w:val="00CE777B"/>
    <w:rsid w:val="00CF1606"/>
    <w:rsid w:val="00CF2E7C"/>
    <w:rsid w:val="00CF6100"/>
    <w:rsid w:val="00CF6E21"/>
    <w:rsid w:val="00D00EA0"/>
    <w:rsid w:val="00D04707"/>
    <w:rsid w:val="00D049B9"/>
    <w:rsid w:val="00D05046"/>
    <w:rsid w:val="00D06B71"/>
    <w:rsid w:val="00D11983"/>
    <w:rsid w:val="00D1207A"/>
    <w:rsid w:val="00D140D2"/>
    <w:rsid w:val="00D14E69"/>
    <w:rsid w:val="00D1636A"/>
    <w:rsid w:val="00D17027"/>
    <w:rsid w:val="00D21D8B"/>
    <w:rsid w:val="00D2510B"/>
    <w:rsid w:val="00D30565"/>
    <w:rsid w:val="00D31C4D"/>
    <w:rsid w:val="00D33EB8"/>
    <w:rsid w:val="00D3447D"/>
    <w:rsid w:val="00D34729"/>
    <w:rsid w:val="00D375FC"/>
    <w:rsid w:val="00D42847"/>
    <w:rsid w:val="00D47113"/>
    <w:rsid w:val="00D476A9"/>
    <w:rsid w:val="00D53341"/>
    <w:rsid w:val="00D5423E"/>
    <w:rsid w:val="00D573CB"/>
    <w:rsid w:val="00D623D5"/>
    <w:rsid w:val="00D64574"/>
    <w:rsid w:val="00D647C2"/>
    <w:rsid w:val="00D73684"/>
    <w:rsid w:val="00D763C3"/>
    <w:rsid w:val="00D802B8"/>
    <w:rsid w:val="00D835EE"/>
    <w:rsid w:val="00D90991"/>
    <w:rsid w:val="00D9195B"/>
    <w:rsid w:val="00D94279"/>
    <w:rsid w:val="00DA1DD4"/>
    <w:rsid w:val="00DA203A"/>
    <w:rsid w:val="00DA2BF9"/>
    <w:rsid w:val="00DB037C"/>
    <w:rsid w:val="00DB06EE"/>
    <w:rsid w:val="00DB2BDD"/>
    <w:rsid w:val="00DB65A1"/>
    <w:rsid w:val="00DB7FB5"/>
    <w:rsid w:val="00DC5366"/>
    <w:rsid w:val="00DD0909"/>
    <w:rsid w:val="00DD1DFE"/>
    <w:rsid w:val="00DD364E"/>
    <w:rsid w:val="00DD4246"/>
    <w:rsid w:val="00DD4611"/>
    <w:rsid w:val="00DD4E66"/>
    <w:rsid w:val="00DD5437"/>
    <w:rsid w:val="00DE19BF"/>
    <w:rsid w:val="00DE7B55"/>
    <w:rsid w:val="00DE7C82"/>
    <w:rsid w:val="00DF0A50"/>
    <w:rsid w:val="00DF1753"/>
    <w:rsid w:val="00DF1EED"/>
    <w:rsid w:val="00DF40C5"/>
    <w:rsid w:val="00DF493B"/>
    <w:rsid w:val="00DF6D53"/>
    <w:rsid w:val="00DF7D81"/>
    <w:rsid w:val="00E01F7D"/>
    <w:rsid w:val="00E04D1A"/>
    <w:rsid w:val="00E04F1C"/>
    <w:rsid w:val="00E054E0"/>
    <w:rsid w:val="00E05EBE"/>
    <w:rsid w:val="00E13808"/>
    <w:rsid w:val="00E17A98"/>
    <w:rsid w:val="00E27A72"/>
    <w:rsid w:val="00E3277E"/>
    <w:rsid w:val="00E32BE8"/>
    <w:rsid w:val="00E3319A"/>
    <w:rsid w:val="00E34A35"/>
    <w:rsid w:val="00E36196"/>
    <w:rsid w:val="00E41F35"/>
    <w:rsid w:val="00E4313B"/>
    <w:rsid w:val="00E448A3"/>
    <w:rsid w:val="00E4733C"/>
    <w:rsid w:val="00E5181D"/>
    <w:rsid w:val="00E5306B"/>
    <w:rsid w:val="00E53B0D"/>
    <w:rsid w:val="00E547E0"/>
    <w:rsid w:val="00E56373"/>
    <w:rsid w:val="00E5746C"/>
    <w:rsid w:val="00E578AB"/>
    <w:rsid w:val="00E603B7"/>
    <w:rsid w:val="00E61520"/>
    <w:rsid w:val="00E62119"/>
    <w:rsid w:val="00E627BE"/>
    <w:rsid w:val="00E63709"/>
    <w:rsid w:val="00E66421"/>
    <w:rsid w:val="00E668D6"/>
    <w:rsid w:val="00E66904"/>
    <w:rsid w:val="00E66A7B"/>
    <w:rsid w:val="00E6732E"/>
    <w:rsid w:val="00E70C4D"/>
    <w:rsid w:val="00E711BA"/>
    <w:rsid w:val="00E7298A"/>
    <w:rsid w:val="00E74050"/>
    <w:rsid w:val="00E74411"/>
    <w:rsid w:val="00E765AF"/>
    <w:rsid w:val="00E768F1"/>
    <w:rsid w:val="00E80A20"/>
    <w:rsid w:val="00E8306D"/>
    <w:rsid w:val="00E83A82"/>
    <w:rsid w:val="00E87F81"/>
    <w:rsid w:val="00E9090B"/>
    <w:rsid w:val="00E90A10"/>
    <w:rsid w:val="00E90BB8"/>
    <w:rsid w:val="00E928C5"/>
    <w:rsid w:val="00E935C3"/>
    <w:rsid w:val="00EA072E"/>
    <w:rsid w:val="00EA49B1"/>
    <w:rsid w:val="00EB1FAF"/>
    <w:rsid w:val="00EB29C2"/>
    <w:rsid w:val="00EB4240"/>
    <w:rsid w:val="00EB7011"/>
    <w:rsid w:val="00EB7A73"/>
    <w:rsid w:val="00EC7442"/>
    <w:rsid w:val="00ED4958"/>
    <w:rsid w:val="00ED6759"/>
    <w:rsid w:val="00ED6E50"/>
    <w:rsid w:val="00EE02B6"/>
    <w:rsid w:val="00EE19C8"/>
    <w:rsid w:val="00EE2FC8"/>
    <w:rsid w:val="00EE5FD8"/>
    <w:rsid w:val="00EE6D86"/>
    <w:rsid w:val="00EF27DA"/>
    <w:rsid w:val="00EF5026"/>
    <w:rsid w:val="00EF57AA"/>
    <w:rsid w:val="00F035F5"/>
    <w:rsid w:val="00F04A92"/>
    <w:rsid w:val="00F11357"/>
    <w:rsid w:val="00F11EDE"/>
    <w:rsid w:val="00F136C4"/>
    <w:rsid w:val="00F16CF9"/>
    <w:rsid w:val="00F21F05"/>
    <w:rsid w:val="00F24C46"/>
    <w:rsid w:val="00F3068A"/>
    <w:rsid w:val="00F3095F"/>
    <w:rsid w:val="00F33407"/>
    <w:rsid w:val="00F341ED"/>
    <w:rsid w:val="00F36DCF"/>
    <w:rsid w:val="00F4284B"/>
    <w:rsid w:val="00F432F2"/>
    <w:rsid w:val="00F43786"/>
    <w:rsid w:val="00F4415F"/>
    <w:rsid w:val="00F5006E"/>
    <w:rsid w:val="00F51C04"/>
    <w:rsid w:val="00F52364"/>
    <w:rsid w:val="00F525AE"/>
    <w:rsid w:val="00F52BD3"/>
    <w:rsid w:val="00F53F5F"/>
    <w:rsid w:val="00F55127"/>
    <w:rsid w:val="00F55615"/>
    <w:rsid w:val="00F56D9E"/>
    <w:rsid w:val="00F64467"/>
    <w:rsid w:val="00F67798"/>
    <w:rsid w:val="00F70D09"/>
    <w:rsid w:val="00F74053"/>
    <w:rsid w:val="00F74E38"/>
    <w:rsid w:val="00F76444"/>
    <w:rsid w:val="00F7658B"/>
    <w:rsid w:val="00F779FD"/>
    <w:rsid w:val="00F83210"/>
    <w:rsid w:val="00F84CCA"/>
    <w:rsid w:val="00F861A8"/>
    <w:rsid w:val="00F86679"/>
    <w:rsid w:val="00F87E24"/>
    <w:rsid w:val="00F91220"/>
    <w:rsid w:val="00F95822"/>
    <w:rsid w:val="00F96673"/>
    <w:rsid w:val="00F9673A"/>
    <w:rsid w:val="00F96AF8"/>
    <w:rsid w:val="00FA2647"/>
    <w:rsid w:val="00FA2A8C"/>
    <w:rsid w:val="00FA3FE7"/>
    <w:rsid w:val="00FB04CE"/>
    <w:rsid w:val="00FB1335"/>
    <w:rsid w:val="00FB3DA9"/>
    <w:rsid w:val="00FB52ED"/>
    <w:rsid w:val="00FC124C"/>
    <w:rsid w:val="00FC1CFD"/>
    <w:rsid w:val="00FC214B"/>
    <w:rsid w:val="00FC277C"/>
    <w:rsid w:val="00FC45CC"/>
    <w:rsid w:val="00FC5646"/>
    <w:rsid w:val="00FC7258"/>
    <w:rsid w:val="00FD254F"/>
    <w:rsid w:val="00FD3DC7"/>
    <w:rsid w:val="00FD3E21"/>
    <w:rsid w:val="00FD455E"/>
    <w:rsid w:val="00FD7FB9"/>
    <w:rsid w:val="00FE29C5"/>
    <w:rsid w:val="00FE5081"/>
    <w:rsid w:val="00FF335C"/>
    <w:rsid w:val="016F5F77"/>
    <w:rsid w:val="0FA97B3F"/>
    <w:rsid w:val="14922836"/>
    <w:rsid w:val="14DD3870"/>
    <w:rsid w:val="186513E6"/>
    <w:rsid w:val="3DA15011"/>
    <w:rsid w:val="3E654BA4"/>
    <w:rsid w:val="47ED3A0E"/>
    <w:rsid w:val="4E4412DF"/>
    <w:rsid w:val="50391D9E"/>
    <w:rsid w:val="5BE34F5C"/>
    <w:rsid w:val="5F4A4BBD"/>
    <w:rsid w:val="69014BAD"/>
    <w:rsid w:val="6B040445"/>
    <w:rsid w:val="739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5"/>
    <w:qFormat/>
    <w:uiPriority w:val="0"/>
    <w:pPr>
      <w:keepNext/>
      <w:widowControl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7"/>
    <w:link w:val="50"/>
    <w:qFormat/>
    <w:uiPriority w:val="0"/>
    <w:pPr>
      <w:widowControl/>
    </w:pPr>
    <w:rPr>
      <w:rFonts w:ascii="Tahoma" w:hAnsi="Tahoma" w:cs="Tahoma"/>
      <w:sz w:val="16"/>
      <w:szCs w:val="16"/>
    </w:rPr>
  </w:style>
  <w:style w:type="paragraph" w:customStyle="1" w:styleId="7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hAnsi="Times New Roman CYR" w:eastAsia="Times New Roman" w:cs="Times New Roman CYR"/>
      <w:kern w:val="3"/>
      <w:sz w:val="24"/>
      <w:szCs w:val="24"/>
      <w:lang w:val="ru-RU" w:eastAsia="ru-RU" w:bidi="hi-IN"/>
    </w:rPr>
  </w:style>
  <w:style w:type="paragraph" w:styleId="8">
    <w:name w:val="Body Text"/>
    <w:basedOn w:val="1"/>
    <w:link w:val="27"/>
    <w:unhideWhenUsed/>
    <w:qFormat/>
    <w:uiPriority w:val="0"/>
    <w:pPr>
      <w:spacing w:after="120"/>
    </w:pPr>
  </w:style>
  <w:style w:type="paragraph" w:styleId="9">
    <w:name w:val="Body Text 3"/>
    <w:basedOn w:val="1"/>
    <w:link w:val="23"/>
    <w:qFormat/>
    <w:uiPriority w:val="0"/>
    <w:pPr>
      <w:spacing w:after="120"/>
    </w:pPr>
    <w:rPr>
      <w:sz w:val="16"/>
      <w:szCs w:val="16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paragraph" w:styleId="11">
    <w:name w:val="footer"/>
    <w:basedOn w:val="1"/>
    <w:link w:val="40"/>
    <w:qFormat/>
    <w:uiPriority w:val="0"/>
    <w:pPr>
      <w:widowControl/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styleId="12">
    <w:name w:val="footnote reference"/>
    <w:basedOn w:val="4"/>
    <w:semiHidden/>
    <w:qFormat/>
    <w:uiPriority w:val="0"/>
    <w:rPr>
      <w:vertAlign w:val="superscript"/>
    </w:rPr>
  </w:style>
  <w:style w:type="paragraph" w:styleId="13">
    <w:name w:val="footnote text"/>
    <w:basedOn w:val="1"/>
    <w:link w:val="21"/>
    <w:semiHidden/>
    <w:qFormat/>
    <w:uiPriority w:val="0"/>
    <w:pPr>
      <w:widowControl/>
      <w:overflowPunct w:val="0"/>
      <w:adjustRightInd w:val="0"/>
      <w:spacing w:line="360" w:lineRule="auto"/>
      <w:ind w:firstLine="567"/>
      <w:textAlignment w:val="baseline"/>
    </w:pPr>
    <w:rPr>
      <w:rFonts w:ascii="Arial" w:hAnsi="Arial" w:cs="Times New Roman"/>
      <w:sz w:val="20"/>
      <w:szCs w:val="20"/>
    </w:rPr>
  </w:style>
  <w:style w:type="paragraph" w:styleId="14">
    <w:name w:val="header"/>
    <w:basedOn w:val="1"/>
    <w:link w:val="56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HTML Preformatted"/>
    <w:basedOn w:val="1"/>
    <w:link w:val="3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styleId="16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17">
    <w:name w:val="List Number"/>
    <w:basedOn w:val="1"/>
    <w:unhideWhenUsed/>
    <w:qFormat/>
    <w:uiPriority w:val="0"/>
    <w:pPr>
      <w:tabs>
        <w:tab w:val="left" w:pos="720"/>
      </w:tabs>
      <w:ind w:left="720" w:hanging="720"/>
      <w:contextualSpacing/>
    </w:pPr>
  </w:style>
  <w:style w:type="paragraph" w:styleId="18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rFonts w:ascii="Comic Sans MS" w:hAnsi="Comic Sans MS" w:cs="Times New Roman"/>
      <w:color w:val="000000"/>
      <w:sz w:val="20"/>
      <w:szCs w:val="20"/>
    </w:rPr>
  </w:style>
  <w:style w:type="character" w:styleId="19">
    <w:name w:val="Strong"/>
    <w:basedOn w:val="4"/>
    <w:qFormat/>
    <w:uiPriority w:val="0"/>
    <w:rPr>
      <w:b/>
      <w:bCs/>
    </w:rPr>
  </w:style>
  <w:style w:type="table" w:styleId="20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Текст сноски Знак"/>
    <w:basedOn w:val="4"/>
    <w:link w:val="13"/>
    <w:semiHidden/>
    <w:qFormat/>
    <w:uiPriority w:val="0"/>
    <w:rPr>
      <w:rFonts w:ascii="Arial" w:hAnsi="Arial" w:eastAsia="Times New Roman" w:cs="Times New Roman"/>
      <w:sz w:val="20"/>
      <w:szCs w:val="20"/>
      <w:lang w:eastAsia="ru-RU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Основной текст 3 Знак"/>
    <w:basedOn w:val="4"/>
    <w:link w:val="9"/>
    <w:qFormat/>
    <w:uiPriority w:val="0"/>
    <w:rPr>
      <w:rFonts w:ascii="Times New Roman CYR" w:hAnsi="Times New Roman CYR" w:eastAsia="Times New Roman" w:cs="Times New Roman CYR"/>
      <w:sz w:val="16"/>
      <w:szCs w:val="16"/>
      <w:lang w:eastAsia="ru-RU"/>
    </w:rPr>
  </w:style>
  <w:style w:type="character" w:customStyle="1" w:styleId="24">
    <w:name w:val="Human Symbol"/>
    <w:basedOn w:val="4"/>
    <w:qFormat/>
    <w:uiPriority w:val="0"/>
    <w:rPr>
      <w:rFonts w:ascii="Symbole Human" w:hAnsi="Symbole Human"/>
      <w:spacing w:val="0"/>
      <w:sz w:val="13"/>
    </w:rPr>
  </w:style>
  <w:style w:type="paragraph" w:customStyle="1" w:styleId="25">
    <w:name w:val="Human Tabelle"/>
    <w:basedOn w:val="1"/>
    <w:qFormat/>
    <w:uiPriority w:val="0"/>
    <w:pPr>
      <w:widowControl/>
      <w:autoSpaceDE/>
      <w:autoSpaceDN/>
      <w:spacing w:after="60" w:line="180" w:lineRule="exact"/>
    </w:pPr>
    <w:rPr>
      <w:rFonts w:ascii="TheSans B4 SemiLight" w:hAnsi="TheSans B4 SemiLight" w:cs="Times New Roman"/>
      <w:sz w:val="15"/>
      <w:szCs w:val="20"/>
      <w:lang w:val="en-GB" w:eastAsia="de-DE"/>
    </w:rPr>
  </w:style>
  <w:style w:type="paragraph" w:customStyle="1" w:styleId="26">
    <w:name w:val="Human Fließtext Hervorhebung"/>
    <w:basedOn w:val="1"/>
    <w:next w:val="1"/>
    <w:qFormat/>
    <w:uiPriority w:val="0"/>
    <w:pPr>
      <w:widowControl/>
      <w:autoSpaceDE/>
      <w:autoSpaceDN/>
      <w:spacing w:after="60" w:line="180" w:lineRule="exact"/>
      <w:jc w:val="both"/>
    </w:pPr>
    <w:rPr>
      <w:rFonts w:ascii="TheSans B7 Bold" w:hAnsi="TheSans B7 Bold" w:cs="Times New Roman"/>
      <w:sz w:val="15"/>
      <w:szCs w:val="20"/>
      <w:lang w:val="de-DE" w:eastAsia="de-DE"/>
    </w:rPr>
  </w:style>
  <w:style w:type="character" w:customStyle="1" w:styleId="27">
    <w:name w:val="Основной текст Знак"/>
    <w:basedOn w:val="4"/>
    <w:link w:val="8"/>
    <w:qFormat/>
    <w:uiPriority w:val="99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customStyle="1" w:styleId="28">
    <w:name w:val="hps"/>
    <w:basedOn w:val="4"/>
    <w:qFormat/>
    <w:uiPriority w:val="99"/>
  </w:style>
  <w:style w:type="paragraph" w:customStyle="1" w:styleId="29">
    <w:name w:val="Pa6"/>
    <w:basedOn w:val="1"/>
    <w:next w:val="1"/>
    <w:qFormat/>
    <w:uiPriority w:val="99"/>
    <w:pPr>
      <w:widowControl/>
      <w:adjustRightInd w:val="0"/>
      <w:spacing w:line="201" w:lineRule="atLeast"/>
    </w:pPr>
    <w:rPr>
      <w:rFonts w:ascii="Century Schoolbook" w:hAnsi="Century Schoolbook" w:eastAsiaTheme="minorHAnsi" w:cstheme="minorBidi"/>
      <w:lang w:eastAsia="en-US"/>
    </w:rPr>
  </w:style>
  <w:style w:type="paragraph" w:customStyle="1" w:styleId="30">
    <w:name w:val="Pa7"/>
    <w:basedOn w:val="1"/>
    <w:next w:val="1"/>
    <w:qFormat/>
    <w:uiPriority w:val="99"/>
    <w:pPr>
      <w:widowControl/>
      <w:adjustRightInd w:val="0"/>
      <w:spacing w:line="181" w:lineRule="atLeast"/>
    </w:pPr>
    <w:rPr>
      <w:rFonts w:ascii="Century Schoolbook" w:hAnsi="Century Schoolbook" w:eastAsiaTheme="minorHAnsi" w:cstheme="minorBidi"/>
      <w:lang w:eastAsia="en-US"/>
    </w:rPr>
  </w:style>
  <w:style w:type="character" w:customStyle="1" w:styleId="31">
    <w:name w:val="A8"/>
    <w:qFormat/>
    <w:uiPriority w:val="99"/>
    <w:rPr>
      <w:rFonts w:cs="Century Schoolbook"/>
      <w:color w:val="000000"/>
      <w:sz w:val="13"/>
      <w:szCs w:val="13"/>
    </w:rPr>
  </w:style>
  <w:style w:type="paragraph" w:customStyle="1" w:styleId="32">
    <w:name w:val="заголовок 6"/>
    <w:basedOn w:val="1"/>
    <w:next w:val="1"/>
    <w:qFormat/>
    <w:uiPriority w:val="0"/>
    <w:pPr>
      <w:keepNext/>
      <w:widowControl/>
      <w:autoSpaceDE/>
      <w:autoSpaceDN/>
      <w:spacing w:line="360" w:lineRule="atLeast"/>
    </w:pPr>
    <w:rPr>
      <w:rFonts w:ascii="Arial" w:hAnsi="Arial" w:cs="Times New Roman"/>
      <w:b/>
      <w:sz w:val="28"/>
      <w:szCs w:val="20"/>
    </w:rPr>
  </w:style>
  <w:style w:type="paragraph" w:customStyle="1" w:styleId="33">
    <w:name w:val="Основной текст с отступом 31"/>
    <w:basedOn w:val="1"/>
    <w:qFormat/>
    <w:uiPriority w:val="0"/>
    <w:pPr>
      <w:widowControl/>
      <w:autoSpaceDE/>
      <w:autoSpaceDN/>
      <w:spacing w:line="360" w:lineRule="auto"/>
      <w:ind w:firstLine="567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34">
    <w:name w:val="Стиль3"/>
    <w:basedOn w:val="17"/>
    <w:qFormat/>
    <w:uiPriority w:val="0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character" w:customStyle="1" w:styleId="35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customStyle="1" w:styleId="36">
    <w:name w:val="Стандартный HTML Знак"/>
    <w:basedOn w:val="4"/>
    <w:link w:val="15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7">
    <w:name w:val="short_text"/>
    <w:basedOn w:val="4"/>
    <w:qFormat/>
    <w:uiPriority w:val="0"/>
  </w:style>
  <w:style w:type="character" w:customStyle="1" w:styleId="38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paragraph" w:styleId="39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40">
    <w:name w:val="Нижний колонтитул Знак"/>
    <w:basedOn w:val="4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1">
    <w:name w:val="xl4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4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 w:eastAsiaTheme="minorHAnsi"/>
      <w:color w:val="000000"/>
      <w:sz w:val="24"/>
      <w:szCs w:val="24"/>
      <w:lang w:val="ru-RU" w:eastAsia="en-US" w:bidi="ar-SA"/>
    </w:rPr>
  </w:style>
  <w:style w:type="paragraph" w:customStyle="1" w:styleId="43">
    <w:name w:val="para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44">
    <w:name w:val="Text body"/>
    <w:basedOn w:val="7"/>
    <w:qFormat/>
    <w:uiPriority w:val="0"/>
    <w:pPr>
      <w:spacing w:after="120"/>
    </w:pPr>
  </w:style>
  <w:style w:type="paragraph" w:customStyle="1" w:styleId="45">
    <w:name w:val="Заголовок 11"/>
    <w:basedOn w:val="7"/>
    <w:next w:val="44"/>
    <w:qFormat/>
    <w:uiPriority w:val="0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46">
    <w:name w:val="Знак Знак"/>
    <w:basedOn w:val="1"/>
    <w:qFormat/>
    <w:uiPriority w:val="0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xl69"/>
    <w:basedOn w:val="1"/>
    <w:qFormat/>
    <w:uiPriority w:val="0"/>
    <w:pPr>
      <w:widowControl/>
      <w:autoSpaceDE/>
      <w:autoSpaceDN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48">
    <w:name w:val="Основной текст (2)_"/>
    <w:link w:val="49"/>
    <w:qFormat/>
    <w:uiPriority w:val="0"/>
    <w:rPr>
      <w:shd w:val="clear" w:color="auto" w:fill="FFFFFF"/>
    </w:rPr>
  </w:style>
  <w:style w:type="paragraph" w:customStyle="1" w:styleId="49">
    <w:name w:val="Основной текст (2)"/>
    <w:basedOn w:val="1"/>
    <w:link w:val="48"/>
    <w:qFormat/>
    <w:uiPriority w:val="0"/>
    <w:pPr>
      <w:shd w:val="clear" w:color="auto" w:fill="FFFFFF"/>
      <w:autoSpaceDE/>
      <w:autoSpaceDN/>
      <w:spacing w:line="312" w:lineRule="exact"/>
      <w:ind w:hanging="340"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0">
    <w:name w:val="Текст выноски Знак"/>
    <w:basedOn w:val="4"/>
    <w:link w:val="6"/>
    <w:qFormat/>
    <w:uiPriority w:val="0"/>
    <w:rPr>
      <w:rFonts w:ascii="Tahoma" w:hAnsi="Tahoma" w:eastAsia="Times New Roman" w:cs="Tahoma"/>
      <w:kern w:val="3"/>
      <w:sz w:val="16"/>
      <w:szCs w:val="16"/>
      <w:lang w:eastAsia="ru-RU" w:bidi="hi-IN"/>
    </w:rPr>
  </w:style>
  <w:style w:type="character" w:customStyle="1" w:styleId="51">
    <w:name w:val="y2iqfc"/>
    <w:basedOn w:val="4"/>
    <w:qFormat/>
    <w:uiPriority w:val="0"/>
  </w:style>
  <w:style w:type="character" w:customStyle="1" w:styleId="52">
    <w:name w:val="Strong Emphasis"/>
    <w:qFormat/>
    <w:uiPriority w:val="0"/>
    <w:rPr>
      <w:b/>
      <w:bCs/>
    </w:rPr>
  </w:style>
  <w:style w:type="paragraph" w:customStyle="1" w:styleId="53">
    <w:name w:val="Знак Знак1 Знак"/>
    <w:basedOn w:val="1"/>
    <w:qFormat/>
    <w:uiPriority w:val="0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54">
    <w:name w:val="Без интервала1"/>
    <w:link w:val="55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character" w:customStyle="1" w:styleId="55">
    <w:name w:val="No Spacing Char1"/>
    <w:link w:val="54"/>
    <w:qFormat/>
    <w:locked/>
    <w:uiPriority w:val="0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customStyle="1" w:styleId="56">
    <w:name w:val="Верхний колонтитул Знак"/>
    <w:basedOn w:val="4"/>
    <w:link w:val="14"/>
    <w:qFormat/>
    <w:uiPriority w:val="99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customStyle="1" w:styleId="57">
    <w:name w:val="Normal1"/>
    <w:qFormat/>
    <w:uiPriority w:val="0"/>
    <w:rPr>
      <w:rFonts w:ascii="Times New Roman" w:hAnsi="Times New Roman" w:eastAsia="SimSun" w:cs="Times New Roman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D6DF-436F-446E-9FE7-BD7EE5C00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13657</Words>
  <Characters>77848</Characters>
  <Lines>648</Lines>
  <Paragraphs>182</Paragraphs>
  <TotalTime>13</TotalTime>
  <ScaleCrop>false</ScaleCrop>
  <LinksUpToDate>false</LinksUpToDate>
  <CharactersWithSpaces>91323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2017-09-28T07:11:00Z</dcterms:created>
  <dc:creator>l.zvyagina</dc:creator>
  <cp:lastModifiedBy>Татьяна</cp:lastModifiedBy>
  <cp:lastPrinted>2020-02-13T11:40:00Z</cp:lastPrinted>
  <dcterms:modified xsi:type="dcterms:W3CDTF">2024-02-23T11:14:54Z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FFC811C1BD1D41618A687D5CBE8E5A76_13</vt:lpwstr>
  </property>
</Properties>
</file>