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6521"/>
        <w:contextualSpacing/>
        <w:jc w:val="right"/>
        <w:rPr>
          <w:rFonts w:ascii="Times New Roman" w:hAnsi="Times New Roman"/>
          <w:b/>
          <w:sz w:val="24"/>
          <w:szCs w:val="24"/>
        </w:rPr>
      </w:pPr>
      <w:r>
        <w:rPr>
          <w:rFonts w:ascii="Times New Roman" w:hAnsi="Times New Roman"/>
          <w:b/>
          <w:sz w:val="24"/>
          <w:szCs w:val="24"/>
        </w:rPr>
        <w:t>Додаток 2</w:t>
      </w:r>
    </w:p>
    <w:p>
      <w:pPr>
        <w:spacing w:after="0" w:line="240" w:lineRule="auto"/>
        <w:ind w:left="6521"/>
        <w:contextualSpacing/>
        <w:jc w:val="right"/>
        <w:rPr>
          <w:rFonts w:ascii="Times New Roman" w:hAnsi="Times New Roman"/>
          <w:b w:val="0"/>
          <w:bCs/>
          <w:sz w:val="24"/>
          <w:szCs w:val="24"/>
        </w:rPr>
      </w:pPr>
      <w:r>
        <w:rPr>
          <w:rFonts w:ascii="Times New Roman" w:hAnsi="Times New Roman"/>
          <w:b/>
          <w:sz w:val="24"/>
          <w:szCs w:val="24"/>
        </w:rPr>
        <w:t xml:space="preserve"> </w:t>
      </w:r>
      <w:r>
        <w:rPr>
          <w:rFonts w:ascii="Times New Roman" w:hAnsi="Times New Roman"/>
          <w:b w:val="0"/>
          <w:bCs/>
          <w:sz w:val="24"/>
          <w:szCs w:val="24"/>
        </w:rPr>
        <w:t xml:space="preserve">до тендерної документації </w:t>
      </w:r>
    </w:p>
    <w:p>
      <w:pPr>
        <w:keepNext/>
        <w:spacing w:after="0" w:line="240" w:lineRule="auto"/>
        <w:contextualSpacing/>
        <w:jc w:val="right"/>
        <w:rPr>
          <w:rFonts w:ascii="Times New Roman" w:hAnsi="Times New Roman"/>
          <w:b w:val="0"/>
          <w:bCs/>
          <w:sz w:val="24"/>
          <w:szCs w:val="24"/>
        </w:rPr>
      </w:pPr>
    </w:p>
    <w:p>
      <w:pPr>
        <w:keepNext/>
        <w:spacing w:after="0" w:line="240" w:lineRule="auto"/>
        <w:contextualSpacing/>
        <w:jc w:val="center"/>
        <w:rPr>
          <w:rFonts w:ascii="Times New Roman" w:hAnsi="Times New Roman"/>
          <w:b/>
          <w:bCs/>
          <w:sz w:val="24"/>
          <w:szCs w:val="24"/>
        </w:rPr>
      </w:pPr>
      <w:r>
        <w:rPr>
          <w:rFonts w:ascii="Times New Roman" w:hAnsi="Times New Roman"/>
          <w:b/>
          <w:bCs/>
          <w:sz w:val="24"/>
          <w:szCs w:val="24"/>
        </w:rPr>
        <w:t>ПРЕДМЕТ ЗАКУПІВЛІ</w:t>
      </w:r>
      <w:r>
        <w:rPr>
          <w:rFonts w:ascii="Times New Roman" w:hAnsi="Times New Roman"/>
          <w:b/>
          <w:bCs/>
          <w:sz w:val="24"/>
          <w:szCs w:val="24"/>
        </w:rPr>
        <w:br w:type="textWrapping"/>
      </w:r>
      <w:r>
        <w:rPr>
          <w:rFonts w:hint="default" w:ascii="Times New Roman" w:hAnsi="Times New Roman"/>
          <w:b/>
          <w:bCs/>
          <w:sz w:val="24"/>
          <w:szCs w:val="24"/>
        </w:rPr>
        <w:t>(код ДК 021:2015 - 15110000-2 М’ясо)</w:t>
      </w:r>
    </w:p>
    <w:p>
      <w:pPr>
        <w:pStyle w:val="4"/>
        <w:shd w:val="clear" w:color="auto" w:fill="FFFFFF"/>
        <w:spacing w:before="0" w:after="0"/>
        <w:contextualSpacing/>
        <w:jc w:val="center"/>
        <w:textAlignment w:val="baseline"/>
        <w:rPr>
          <w:b/>
          <w:lang w:val="uk-UA"/>
        </w:rPr>
      </w:pPr>
      <w:r>
        <w:rPr>
          <w:rFonts w:hint="default"/>
          <w:b/>
          <w:lang w:val="uk-UA" w:eastAsia="ru-RU"/>
        </w:rPr>
        <w:t>Філе куряче</w:t>
      </w:r>
      <w:r>
        <w:rPr>
          <w:rFonts w:hint="default"/>
          <w:b/>
          <w:lang w:eastAsia="ru-RU"/>
        </w:rPr>
        <w:t xml:space="preserve"> охолоджен</w:t>
      </w:r>
      <w:r>
        <w:rPr>
          <w:rFonts w:hint="default"/>
          <w:b/>
          <w:lang w:val="uk-UA" w:eastAsia="ru-RU"/>
        </w:rPr>
        <w:t>е</w:t>
      </w:r>
      <w:r>
        <w:rPr>
          <w:b/>
          <w:lang w:val="uk-UA" w:eastAsia="ru-RU"/>
        </w:rPr>
        <w:t xml:space="preserve">, </w:t>
      </w:r>
      <w:r>
        <w:rPr>
          <w:rFonts w:hint="default"/>
          <w:b/>
          <w:lang w:eastAsia="ru-RU"/>
        </w:rPr>
        <w:t>С</w:t>
      </w:r>
      <w:r>
        <w:rPr>
          <w:b/>
          <w:lang w:val="uk-UA" w:eastAsia="ru-RU"/>
        </w:rPr>
        <w:t>винина без кістки</w:t>
      </w:r>
      <w:r>
        <w:rPr>
          <w:rFonts w:hint="default"/>
          <w:b/>
          <w:lang w:eastAsia="ru-RU"/>
        </w:rPr>
        <w:t xml:space="preserve"> охолоджена </w:t>
      </w:r>
    </w:p>
    <w:p>
      <w:pPr>
        <w:pStyle w:val="4"/>
        <w:shd w:val="clear" w:color="auto" w:fill="FFFFFF"/>
        <w:spacing w:before="0" w:after="0"/>
        <w:contextualSpacing/>
        <w:jc w:val="center"/>
        <w:textAlignment w:val="baseline"/>
        <w:rPr>
          <w:b/>
          <w:lang w:val="uk-UA"/>
        </w:rPr>
      </w:pPr>
    </w:p>
    <w:p>
      <w:pPr>
        <w:spacing w:after="0" w:line="240" w:lineRule="auto"/>
        <w:contextualSpacing/>
        <w:rPr>
          <w:rFonts w:ascii="Times New Roman" w:hAnsi="Times New Roman" w:eastAsia="Calibri"/>
          <w:b/>
          <w:sz w:val="24"/>
          <w:szCs w:val="24"/>
        </w:rPr>
      </w:pPr>
      <w:r>
        <w:rPr>
          <w:rFonts w:ascii="Times New Roman" w:hAnsi="Times New Roman" w:eastAsia="Calibri"/>
          <w:b/>
          <w:sz w:val="24"/>
          <w:szCs w:val="24"/>
          <w:u w:val="single"/>
        </w:rPr>
        <w:t>ЯКІСНІ ВИМОГИ</w:t>
      </w:r>
      <w:r>
        <w:rPr>
          <w:rFonts w:ascii="Times New Roman" w:hAnsi="Times New Roman" w:eastAsia="Calibri"/>
          <w:b/>
          <w:sz w:val="24"/>
          <w:szCs w:val="24"/>
        </w:rPr>
        <w:t>:</w:t>
      </w:r>
    </w:p>
    <w:tbl>
      <w:tblPr>
        <w:tblStyle w:val="3"/>
        <w:tblW w:w="9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
        <w:gridCol w:w="2815"/>
        <w:gridCol w:w="1208"/>
        <w:gridCol w:w="1275"/>
        <w:gridCol w:w="1491"/>
        <w:gridCol w:w="2426"/>
      </w:tblGrid>
      <w:tr>
        <w:trPr>
          <w:trHeight w:val="1430" w:hRule="atLeast"/>
        </w:trPr>
        <w:tc>
          <w:tcPr>
            <w:tcW w:w="458"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536"/>
              </w:tabs>
              <w:suppressAutoHyphens/>
              <w:autoSpaceDE w:val="0"/>
              <w:spacing w:after="0" w:line="240" w:lineRule="auto"/>
              <w:contextualSpacing/>
              <w:jc w:val="center"/>
              <w:rPr>
                <w:rFonts w:ascii="Times New Roman" w:hAnsi="Times New Roman"/>
                <w:b/>
                <w:bCs/>
                <w:sz w:val="24"/>
                <w:szCs w:val="24"/>
                <w:lang w:val="ru-RU" w:eastAsia="zh-CN"/>
              </w:rPr>
            </w:pPr>
            <w:r>
              <w:rPr>
                <w:rFonts w:ascii="Times New Roman" w:hAnsi="Times New Roman"/>
                <w:b/>
                <w:bCs/>
                <w:sz w:val="24"/>
                <w:szCs w:val="24"/>
                <w:lang w:val="ru-RU" w:eastAsia="zh-CN"/>
              </w:rPr>
              <w:t xml:space="preserve">№ </w:t>
            </w:r>
          </w:p>
        </w:tc>
        <w:tc>
          <w:tcPr>
            <w:tcW w:w="3074"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autoSpaceDE w:val="0"/>
              <w:spacing w:after="0" w:line="240" w:lineRule="auto"/>
              <w:contextualSpacing/>
              <w:jc w:val="center"/>
              <w:rPr>
                <w:rFonts w:ascii="Times New Roman" w:hAnsi="Times New Roman"/>
                <w:b/>
                <w:bCs/>
                <w:sz w:val="24"/>
                <w:szCs w:val="24"/>
                <w:lang w:val="ru-RU" w:eastAsia="zh-CN"/>
              </w:rPr>
            </w:pPr>
            <w:r>
              <w:rPr>
                <w:rFonts w:ascii="Times New Roman" w:hAnsi="Times New Roman"/>
                <w:b/>
                <w:bCs/>
                <w:sz w:val="24"/>
                <w:szCs w:val="24"/>
                <w:lang w:val="ru-RU" w:eastAsia="zh-CN"/>
              </w:rPr>
              <w:t>Найменування</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536"/>
              </w:tabs>
              <w:suppressAutoHyphens/>
              <w:autoSpaceDE w:val="0"/>
              <w:spacing w:after="0" w:line="240" w:lineRule="auto"/>
              <w:contextualSpacing/>
              <w:jc w:val="center"/>
              <w:rPr>
                <w:rFonts w:ascii="Times New Roman" w:hAnsi="Times New Roman"/>
                <w:b/>
                <w:bCs/>
                <w:sz w:val="24"/>
                <w:szCs w:val="24"/>
                <w:lang w:val="ru-RU" w:eastAsia="zh-CN"/>
              </w:rPr>
            </w:pPr>
            <w:r>
              <w:rPr>
                <w:rFonts w:ascii="Times New Roman" w:hAnsi="Times New Roman"/>
                <w:b/>
                <w:bCs/>
                <w:sz w:val="24"/>
                <w:szCs w:val="24"/>
                <w:lang w:val="ru-RU" w:eastAsia="zh-CN"/>
              </w:rPr>
              <w:t>Одиниц</w:t>
            </w:r>
            <w:r>
              <w:rPr>
                <w:rFonts w:ascii="Times New Roman" w:hAnsi="Times New Roman"/>
                <w:b/>
                <w:bCs/>
                <w:sz w:val="24"/>
                <w:szCs w:val="24"/>
                <w:lang w:eastAsia="zh-CN"/>
              </w:rPr>
              <w:t>я</w:t>
            </w:r>
            <w:r>
              <w:rPr>
                <w:rFonts w:ascii="Times New Roman" w:hAnsi="Times New Roman"/>
                <w:b/>
                <w:bCs/>
                <w:sz w:val="24"/>
                <w:szCs w:val="24"/>
                <w:lang w:eastAsia="zh-CN"/>
              </w:rPr>
              <w:br w:type="textWrapping"/>
            </w:r>
            <w:r>
              <w:rPr>
                <w:rFonts w:ascii="Times New Roman" w:hAnsi="Times New Roman"/>
                <w:b/>
                <w:bCs/>
                <w:sz w:val="24"/>
                <w:szCs w:val="24"/>
                <w:lang w:val="ru-RU" w:eastAsia="zh-CN"/>
              </w:rPr>
              <w:t>виміру</w:t>
            </w:r>
          </w:p>
        </w:tc>
        <w:tc>
          <w:tcPr>
            <w:tcW w:w="873"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536"/>
              </w:tabs>
              <w:suppressAutoHyphens/>
              <w:autoSpaceDE w:val="0"/>
              <w:spacing w:after="0" w:line="240" w:lineRule="auto"/>
              <w:contextualSpacing/>
              <w:jc w:val="center"/>
              <w:rPr>
                <w:rFonts w:ascii="Times New Roman" w:hAnsi="Times New Roman"/>
                <w:b/>
                <w:bCs/>
                <w:sz w:val="24"/>
                <w:szCs w:val="24"/>
                <w:lang w:val="ru-RU" w:eastAsia="zh-CN"/>
              </w:rPr>
            </w:pPr>
            <w:r>
              <w:rPr>
                <w:rFonts w:ascii="Times New Roman" w:hAnsi="Times New Roman"/>
                <w:b/>
                <w:bCs/>
                <w:sz w:val="24"/>
                <w:szCs w:val="24"/>
                <w:lang w:val="ru-RU" w:eastAsia="zh-CN"/>
              </w:rPr>
              <w:t>Кількість</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536"/>
              </w:tabs>
              <w:suppressAutoHyphens/>
              <w:autoSpaceDE w:val="0"/>
              <w:spacing w:after="0" w:line="240" w:lineRule="auto"/>
              <w:contextualSpacing/>
              <w:jc w:val="center"/>
              <w:rPr>
                <w:rFonts w:ascii="Times New Roman" w:hAnsi="Times New Roman"/>
                <w:b/>
                <w:bCs/>
                <w:sz w:val="24"/>
                <w:szCs w:val="24"/>
                <w:lang w:val="ru-RU" w:eastAsia="zh-CN"/>
              </w:rPr>
            </w:pPr>
            <w:r>
              <w:rPr>
                <w:rFonts w:ascii="Times New Roman" w:hAnsi="Times New Roman"/>
                <w:b/>
                <w:bCs/>
                <w:sz w:val="24"/>
                <w:szCs w:val="24"/>
                <w:lang w:val="ru-RU" w:eastAsia="zh-CN"/>
              </w:rPr>
              <w:t>Вид</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536"/>
              </w:tabs>
              <w:suppressAutoHyphens/>
              <w:autoSpaceDE w:val="0"/>
              <w:spacing w:after="0" w:line="240" w:lineRule="auto"/>
              <w:ind w:right="-87"/>
              <w:contextualSpacing/>
              <w:jc w:val="center"/>
              <w:rPr>
                <w:rFonts w:ascii="Times New Roman" w:hAnsi="Times New Roman"/>
                <w:b/>
                <w:bCs/>
                <w:sz w:val="24"/>
                <w:szCs w:val="24"/>
                <w:lang w:val="ru-RU" w:eastAsia="zh-CN"/>
              </w:rPr>
            </w:pPr>
            <w:r>
              <w:rPr>
                <w:rFonts w:ascii="Times New Roman" w:hAnsi="Times New Roman"/>
                <w:b/>
                <w:bCs/>
                <w:sz w:val="24"/>
                <w:szCs w:val="24"/>
                <w:lang w:val="ru-RU" w:eastAsia="zh-CN"/>
              </w:rPr>
              <w:t>Умови поставки</w:t>
            </w:r>
          </w:p>
        </w:tc>
      </w:tr>
      <w:tr>
        <w:trPr>
          <w:trHeight w:val="1081" w:hRule="atLeast"/>
        </w:trPr>
        <w:tc>
          <w:tcPr>
            <w:tcW w:w="458"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autoSpaceDE w:val="0"/>
              <w:spacing w:after="0" w:line="240" w:lineRule="auto"/>
              <w:contextualSpacing/>
              <w:jc w:val="center"/>
              <w:rPr>
                <w:rFonts w:ascii="Times New Roman" w:hAnsi="Times New Roman"/>
                <w:b/>
                <w:bCs/>
                <w:iCs/>
                <w:sz w:val="24"/>
                <w:szCs w:val="24"/>
                <w:lang w:val="ru-RU" w:eastAsia="zh-CN"/>
              </w:rPr>
            </w:pPr>
            <w:r>
              <w:rPr>
                <w:rFonts w:ascii="Times New Roman" w:hAnsi="Times New Roman"/>
                <w:b/>
                <w:bCs/>
                <w:iCs/>
                <w:sz w:val="24"/>
                <w:szCs w:val="24"/>
                <w:lang w:val="ru-RU" w:eastAsia="zh-CN"/>
              </w:rPr>
              <w:t>1</w:t>
            </w:r>
          </w:p>
        </w:tc>
        <w:tc>
          <w:tcPr>
            <w:tcW w:w="3074"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jc w:val="center"/>
              <w:rPr>
                <w:rFonts w:hint="default" w:ascii="Times New Roman" w:hAnsi="Times New Roman"/>
                <w:b/>
                <w:color w:val="000000"/>
                <w:sz w:val="24"/>
                <w:szCs w:val="24"/>
                <w:lang w:val="uk-UA" w:eastAsia="en-US"/>
              </w:rPr>
            </w:pPr>
            <w:r>
              <w:rPr>
                <w:rFonts w:ascii="Times New Roman" w:hAnsi="Times New Roman"/>
                <w:b/>
                <w:color w:val="000000"/>
                <w:sz w:val="24"/>
                <w:szCs w:val="24"/>
                <w:lang w:val="uk-UA" w:eastAsia="en-US"/>
              </w:rPr>
              <w:t>Філе</w:t>
            </w:r>
            <w:r>
              <w:rPr>
                <w:rFonts w:hint="default" w:ascii="Times New Roman" w:hAnsi="Times New Roman"/>
                <w:b/>
                <w:color w:val="000000"/>
                <w:sz w:val="24"/>
                <w:szCs w:val="24"/>
                <w:lang w:val="uk-UA" w:eastAsia="en-US"/>
              </w:rPr>
              <w:t xml:space="preserve"> куряче</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tabs>
                <w:tab w:val="left" w:pos="536"/>
              </w:tabs>
              <w:spacing w:after="0" w:line="240" w:lineRule="auto"/>
              <w:contextualSpacing/>
              <w:jc w:val="center"/>
              <w:rPr>
                <w:rFonts w:ascii="Times New Roman" w:hAnsi="Times New Roman"/>
                <w:color w:val="000000"/>
                <w:sz w:val="24"/>
                <w:szCs w:val="24"/>
                <w:lang w:val="ru-RU" w:eastAsia="en-US"/>
              </w:rPr>
            </w:pPr>
            <w:r>
              <w:rPr>
                <w:rFonts w:ascii="Times New Roman" w:hAnsi="Times New Roman"/>
                <w:color w:val="000000"/>
                <w:sz w:val="24"/>
                <w:szCs w:val="24"/>
                <w:lang w:val="ru-RU" w:eastAsia="en-US"/>
              </w:rPr>
              <w:t>кг</w:t>
            </w: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jc w:val="center"/>
              <w:rPr>
                <w:rFonts w:hint="default" w:ascii="Times New Roman" w:hAnsi="Times New Roman"/>
                <w:b/>
                <w:color w:val="000000"/>
                <w:sz w:val="24"/>
                <w:szCs w:val="24"/>
                <w:lang w:eastAsia="en-US"/>
              </w:rPr>
            </w:pPr>
            <w:r>
              <w:rPr>
                <w:rFonts w:hint="default" w:ascii="Times New Roman" w:hAnsi="Times New Roman"/>
                <w:b/>
                <w:color w:val="000000"/>
                <w:sz w:val="24"/>
                <w:szCs w:val="24"/>
                <w:lang w:val="en-US" w:eastAsia="en-US"/>
              </w:rPr>
              <w:t>200</w:t>
            </w:r>
            <w:r>
              <w:rPr>
                <w:rFonts w:hint="default" w:ascii="Times New Roman" w:hAnsi="Times New Roman"/>
                <w:b/>
                <w:color w:val="000000"/>
                <w:sz w:val="24"/>
                <w:szCs w:val="24"/>
                <w:lang w:eastAsia="en-US"/>
              </w:rPr>
              <w:t>0</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sz w:val="24"/>
                <w:szCs w:val="24"/>
                <w:lang w:val="ru-RU" w:eastAsia="zh-CN"/>
              </w:rPr>
            </w:pPr>
            <w:r>
              <w:rPr>
                <w:rFonts w:ascii="Times New Roman" w:hAnsi="Times New Roman"/>
                <w:b/>
                <w:color w:val="000000"/>
                <w:sz w:val="24"/>
                <w:szCs w:val="24"/>
                <w:lang w:val="ru-RU" w:eastAsia="en-US"/>
              </w:rPr>
              <w:t>охолоджена</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autoSpaceDE w:val="0"/>
              <w:spacing w:after="0" w:line="240" w:lineRule="auto"/>
              <w:contextualSpacing/>
              <w:jc w:val="center"/>
              <w:rPr>
                <w:rFonts w:ascii="Times New Roman" w:hAnsi="Times New Roman"/>
                <w:sz w:val="24"/>
                <w:szCs w:val="24"/>
                <w:lang w:val="ru-RU" w:eastAsia="zh-CN"/>
              </w:rPr>
            </w:pPr>
            <w:r>
              <w:rPr>
                <w:rFonts w:ascii="Times New Roman" w:hAnsi="Times New Roman"/>
                <w:sz w:val="24"/>
                <w:szCs w:val="24"/>
                <w:lang w:val="ru-RU" w:eastAsia="zh-CN"/>
              </w:rPr>
              <w:t>Спеціалізованим транспортом постачальника</w:t>
            </w:r>
          </w:p>
          <w:p>
            <w:pPr>
              <w:widowControl w:val="0"/>
              <w:suppressAutoHyphens/>
              <w:autoSpaceDE w:val="0"/>
              <w:spacing w:after="0" w:line="240" w:lineRule="auto"/>
              <w:contextualSpacing/>
              <w:jc w:val="center"/>
              <w:rPr>
                <w:rFonts w:ascii="Times New Roman" w:hAnsi="Times New Roman"/>
                <w:sz w:val="24"/>
                <w:szCs w:val="24"/>
                <w:lang w:val="ru-RU" w:eastAsia="zh-CN"/>
              </w:rPr>
            </w:pPr>
            <w:r>
              <w:rPr>
                <w:rFonts w:ascii="Times New Roman" w:hAnsi="Times New Roman"/>
                <w:sz w:val="24"/>
                <w:szCs w:val="24"/>
                <w:lang w:val="ru-RU" w:eastAsia="zh-CN"/>
              </w:rPr>
              <w:t>(</w:t>
            </w:r>
            <w:r>
              <w:rPr>
                <w:rFonts w:ascii="Times New Roman" w:hAnsi="Times New Roman"/>
                <w:color w:val="000000"/>
                <w:sz w:val="24"/>
                <w:szCs w:val="24"/>
                <w:lang w:val="ru-RU" w:eastAsia="en-US"/>
              </w:rPr>
              <w:t>рефрижератор</w:t>
            </w:r>
            <w:r>
              <w:rPr>
                <w:rFonts w:ascii="Times New Roman" w:hAnsi="Times New Roman"/>
                <w:sz w:val="24"/>
                <w:szCs w:val="24"/>
                <w:lang w:val="ru-RU" w:eastAsia="zh-CN"/>
              </w:rPr>
              <w:t xml:space="preserve">) </w:t>
            </w:r>
          </w:p>
        </w:tc>
      </w:tr>
      <w:tr>
        <w:trPr>
          <w:trHeight w:val="1081" w:hRule="atLeast"/>
        </w:trPr>
        <w:tc>
          <w:tcPr>
            <w:tcW w:w="458"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autoSpaceDE w:val="0"/>
              <w:spacing w:after="0" w:line="240" w:lineRule="auto"/>
              <w:contextualSpacing/>
              <w:jc w:val="center"/>
              <w:rPr>
                <w:rFonts w:ascii="Times New Roman" w:hAnsi="Times New Roman"/>
                <w:b/>
                <w:bCs/>
                <w:iCs/>
                <w:sz w:val="24"/>
                <w:szCs w:val="24"/>
                <w:lang w:val="ru-RU" w:eastAsia="zh-CN"/>
              </w:rPr>
            </w:pPr>
            <w:r>
              <w:rPr>
                <w:rFonts w:ascii="Times New Roman" w:hAnsi="Times New Roman"/>
                <w:b/>
                <w:bCs/>
                <w:iCs/>
                <w:sz w:val="24"/>
                <w:szCs w:val="24"/>
                <w:lang w:val="ru-RU" w:eastAsia="zh-CN"/>
              </w:rPr>
              <w:t>2</w:t>
            </w:r>
          </w:p>
        </w:tc>
        <w:tc>
          <w:tcPr>
            <w:tcW w:w="3074"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jc w:val="center"/>
              <w:rPr>
                <w:rFonts w:ascii="Times New Roman" w:hAnsi="Times New Roman"/>
                <w:b/>
                <w:lang w:val="ru-RU" w:eastAsia="en-US"/>
              </w:rPr>
            </w:pPr>
            <w:r>
              <w:rPr>
                <w:rFonts w:ascii="Times New Roman" w:hAnsi="Times New Roman"/>
                <w:b/>
                <w:sz w:val="24"/>
                <w:szCs w:val="24"/>
                <w:lang w:val="ru-RU" w:eastAsia="en-US"/>
              </w:rPr>
              <w:t>Свинина без кістки</w:t>
            </w:r>
          </w:p>
        </w:tc>
        <w:tc>
          <w:tcPr>
            <w:tcW w:w="1172" w:type="dxa"/>
            <w:tcBorders>
              <w:top w:val="single" w:color="auto" w:sz="4" w:space="0"/>
              <w:left w:val="single" w:color="auto" w:sz="4" w:space="0"/>
              <w:bottom w:val="single" w:color="auto" w:sz="4" w:space="0"/>
              <w:right w:val="single" w:color="auto" w:sz="4" w:space="0"/>
            </w:tcBorders>
            <w:noWrap w:val="0"/>
            <w:vAlign w:val="center"/>
          </w:tcPr>
          <w:p>
            <w:pPr>
              <w:tabs>
                <w:tab w:val="left" w:pos="536"/>
              </w:tabs>
              <w:spacing w:after="0" w:line="240" w:lineRule="auto"/>
              <w:contextualSpacing/>
              <w:jc w:val="center"/>
              <w:rPr>
                <w:rFonts w:ascii="Times New Roman" w:hAnsi="Times New Roman"/>
                <w:color w:val="000000"/>
                <w:sz w:val="24"/>
                <w:szCs w:val="24"/>
                <w:lang w:val="ru-RU" w:eastAsia="en-US"/>
              </w:rPr>
            </w:pPr>
            <w:r>
              <w:rPr>
                <w:rFonts w:ascii="Times New Roman" w:hAnsi="Times New Roman"/>
                <w:color w:val="000000"/>
                <w:sz w:val="24"/>
                <w:szCs w:val="24"/>
                <w:lang w:val="ru-RU" w:eastAsia="en-US"/>
              </w:rPr>
              <w:t>кг</w:t>
            </w: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after="0" w:line="240" w:lineRule="auto"/>
              <w:contextualSpacing/>
              <w:jc w:val="center"/>
              <w:rPr>
                <w:rFonts w:hint="default" w:ascii="Times New Roman" w:hAnsi="Times New Roman"/>
                <w:b/>
                <w:sz w:val="24"/>
                <w:szCs w:val="24"/>
                <w:lang w:eastAsia="en-US"/>
              </w:rPr>
            </w:pPr>
            <w:r>
              <w:rPr>
                <w:rFonts w:hint="default" w:ascii="Times New Roman" w:hAnsi="Times New Roman"/>
                <w:b/>
                <w:sz w:val="24"/>
                <w:szCs w:val="24"/>
                <w:lang w:val="en-US" w:eastAsia="en-US"/>
              </w:rPr>
              <w:t>150</w:t>
            </w:r>
            <w:r>
              <w:rPr>
                <w:rFonts w:hint="default" w:ascii="Times New Roman" w:hAnsi="Times New Roman"/>
                <w:b/>
                <w:sz w:val="24"/>
                <w:szCs w:val="24"/>
                <w:lang w:eastAsia="en-US"/>
              </w:rPr>
              <w:t>0</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after="0" w:line="240" w:lineRule="auto"/>
              <w:contextualSpacing/>
              <w:jc w:val="center"/>
              <w:rPr>
                <w:rFonts w:ascii="Times New Roman" w:hAnsi="Times New Roman"/>
                <w:b/>
                <w:color w:val="000000"/>
                <w:sz w:val="24"/>
                <w:szCs w:val="24"/>
                <w:lang w:val="ru-RU" w:eastAsia="en-US"/>
              </w:rPr>
            </w:pPr>
            <w:r>
              <w:rPr>
                <w:rFonts w:ascii="Times New Roman" w:hAnsi="Times New Roman"/>
                <w:b/>
                <w:color w:val="000000"/>
                <w:sz w:val="24"/>
                <w:szCs w:val="24"/>
                <w:lang w:val="ru-RU" w:eastAsia="en-US"/>
              </w:rPr>
              <w:t>охолоджена</w:t>
            </w:r>
          </w:p>
        </w:tc>
        <w:tc>
          <w:tcPr>
            <w:tcW w:w="2579" w:type="dxa"/>
            <w:tcBorders>
              <w:top w:val="single" w:color="auto" w:sz="4" w:space="0"/>
              <w:left w:val="single" w:color="auto" w:sz="4" w:space="0"/>
              <w:bottom w:val="single" w:color="auto" w:sz="4" w:space="0"/>
              <w:right w:val="single" w:color="auto" w:sz="4" w:space="0"/>
            </w:tcBorders>
            <w:noWrap w:val="0"/>
            <w:vAlign w:val="center"/>
          </w:tcPr>
          <w:p>
            <w:pPr>
              <w:widowControl w:val="0"/>
              <w:suppressAutoHyphens/>
              <w:autoSpaceDE w:val="0"/>
              <w:spacing w:after="0" w:line="240" w:lineRule="auto"/>
              <w:contextualSpacing/>
              <w:jc w:val="center"/>
              <w:rPr>
                <w:rFonts w:ascii="Times New Roman" w:hAnsi="Times New Roman"/>
                <w:sz w:val="24"/>
                <w:szCs w:val="24"/>
                <w:lang w:val="ru-RU" w:eastAsia="zh-CN"/>
              </w:rPr>
            </w:pPr>
            <w:r>
              <w:rPr>
                <w:rFonts w:ascii="Times New Roman" w:hAnsi="Times New Roman"/>
                <w:sz w:val="24"/>
                <w:szCs w:val="24"/>
                <w:lang w:val="ru-RU" w:eastAsia="zh-CN"/>
              </w:rPr>
              <w:t>Спеціалізованим транспортом постачальника</w:t>
            </w:r>
          </w:p>
          <w:p>
            <w:pPr>
              <w:widowControl w:val="0"/>
              <w:suppressAutoHyphens/>
              <w:autoSpaceDE w:val="0"/>
              <w:spacing w:after="0" w:line="240" w:lineRule="auto"/>
              <w:contextualSpacing/>
              <w:jc w:val="center"/>
              <w:rPr>
                <w:rFonts w:ascii="Times New Roman" w:hAnsi="Times New Roman"/>
                <w:sz w:val="24"/>
                <w:szCs w:val="24"/>
                <w:lang w:val="ru-RU" w:eastAsia="zh-CN"/>
              </w:rPr>
            </w:pPr>
            <w:r>
              <w:rPr>
                <w:rFonts w:ascii="Times New Roman" w:hAnsi="Times New Roman"/>
                <w:sz w:val="24"/>
                <w:szCs w:val="24"/>
                <w:lang w:val="ru-RU" w:eastAsia="zh-CN"/>
              </w:rPr>
              <w:t>(</w:t>
            </w:r>
            <w:r>
              <w:rPr>
                <w:rFonts w:ascii="Times New Roman" w:hAnsi="Times New Roman"/>
                <w:color w:val="000000"/>
                <w:sz w:val="24"/>
                <w:szCs w:val="24"/>
                <w:lang w:val="ru-RU" w:eastAsia="en-US"/>
              </w:rPr>
              <w:t>рефрижератор</w:t>
            </w:r>
            <w:r>
              <w:rPr>
                <w:rFonts w:ascii="Times New Roman" w:hAnsi="Times New Roman"/>
                <w:sz w:val="24"/>
                <w:szCs w:val="24"/>
                <w:lang w:val="ru-RU" w:eastAsia="zh-CN"/>
              </w:rPr>
              <w:t>)</w:t>
            </w:r>
          </w:p>
        </w:tc>
      </w:tr>
    </w:tbl>
    <w:p>
      <w:pPr>
        <w:pStyle w:val="4"/>
        <w:shd w:val="clear" w:color="auto" w:fill="FFFFFF"/>
        <w:spacing w:before="0" w:after="0"/>
        <w:contextualSpacing/>
        <w:jc w:val="center"/>
        <w:textAlignment w:val="baseline"/>
        <w:rPr>
          <w:b/>
          <w:color w:val="000000"/>
          <w:lang w:val="uk-UA"/>
        </w:rPr>
      </w:pPr>
    </w:p>
    <w:p>
      <w:pPr>
        <w:keepNext/>
        <w:spacing w:after="0" w:line="240" w:lineRule="auto"/>
        <w:contextualSpacing/>
        <w:rPr>
          <w:rFonts w:ascii="Times New Roman" w:hAnsi="Times New Roman"/>
          <w:b/>
          <w:bCs/>
          <w:sz w:val="24"/>
          <w:szCs w:val="24"/>
        </w:rPr>
      </w:pPr>
    </w:p>
    <w:p>
      <w:pPr>
        <w:keepNext/>
        <w:spacing w:before="0" w:after="0" w:line="100" w:lineRule="atLeast"/>
        <w:jc w:val="both"/>
        <w:rPr>
          <w:rFonts w:ascii="Times New Roman" w:hAnsi="Times New Roman" w:cs="Times New Roman"/>
          <w:b/>
          <w:sz w:val="24"/>
          <w:szCs w:val="24"/>
        </w:rPr>
      </w:pPr>
      <w:r>
        <w:rPr>
          <w:rFonts w:ascii="Times New Roman" w:hAnsi="Times New Roman" w:cs="Times New Roman"/>
          <w:b/>
          <w:sz w:val="24"/>
          <w:szCs w:val="24"/>
          <w:u w:val="single"/>
        </w:rPr>
        <w:t>ЗАГАЛЬНІ ВИМОГИ</w:t>
      </w:r>
      <w:r>
        <w:rPr>
          <w:rFonts w:ascii="Times New Roman" w:hAnsi="Times New Roman" w:cs="Times New Roman"/>
          <w:b/>
          <w:sz w:val="24"/>
          <w:szCs w:val="24"/>
        </w:rPr>
        <w:t>:</w:t>
      </w:r>
    </w:p>
    <w:p>
      <w:pPr>
        <w:keepNext/>
        <w:spacing w:before="0" w:after="0" w:line="100" w:lineRule="atLeast"/>
        <w:jc w:val="both"/>
        <w:rPr>
          <w:rFonts w:ascii="Times New Roman" w:hAnsi="Times New Roman" w:cs="Times New Roman"/>
          <w:b/>
          <w:sz w:val="24"/>
          <w:szCs w:val="24"/>
        </w:rPr>
      </w:pPr>
    </w:p>
    <w:p>
      <w:pPr>
        <w:spacing w:before="0" w:after="0" w:line="100" w:lineRule="atLeast"/>
        <w:ind w:left="0" w:right="0" w:firstLine="539"/>
        <w:jc w:val="both"/>
        <w:rPr>
          <w:rFonts w:ascii="Times New Roman" w:hAnsi="Times New Roman" w:cs="Times New Roman"/>
          <w:sz w:val="24"/>
          <w:szCs w:val="24"/>
        </w:rPr>
      </w:pPr>
      <w:r>
        <w:rPr>
          <w:rFonts w:ascii="Times New Roman" w:hAnsi="Times New Roman" w:cs="Times New Roman"/>
          <w:sz w:val="24"/>
          <w:szCs w:val="24"/>
        </w:rPr>
        <w:t>1. Строки постачання: до 31.12.2023 року. Постачання товару здійснюється протягом одного робочого дня з моменту подання замовником заявки на поставку товару.</w:t>
      </w:r>
    </w:p>
    <w:p>
      <w:pPr>
        <w:spacing w:before="0" w:after="0" w:line="100" w:lineRule="atLeast"/>
        <w:ind w:left="0" w:right="0" w:firstLine="53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u w:val="single"/>
        </w:rPr>
        <w:t>Технічні вимоги</w:t>
      </w:r>
      <w:r>
        <w:rPr>
          <w:rFonts w:ascii="Times New Roman" w:hAnsi="Times New Roman" w:cs="Times New Roman"/>
          <w:sz w:val="24"/>
          <w:szCs w:val="24"/>
        </w:rPr>
        <w:t xml:space="preserve">: </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sz w:val="24"/>
          <w:szCs w:val="24"/>
        </w:rPr>
        <w:t xml:space="preserve">- продукція харчової промисловості, що вказана в тендерній документації, має постачатися дрібними партіями </w:t>
      </w:r>
      <w:r>
        <w:rPr>
          <w:rFonts w:ascii="Times New Roman" w:hAnsi="Times New Roman" w:cs="Times New Roman"/>
          <w:color w:val="000000"/>
          <w:sz w:val="24"/>
          <w:szCs w:val="24"/>
        </w:rPr>
        <w:t>у кількості та асортименті згідно з заявками уповноважених осіб Замовника;</w:t>
      </w:r>
    </w:p>
    <w:p>
      <w:pPr>
        <w:widowControl w:val="0"/>
        <w:suppressAutoHyphens/>
        <w:spacing w:before="0" w:after="0" w:line="100" w:lineRule="atLeast"/>
        <w:ind w:left="0"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продукція харчової промисловості повинна постачатися спеціалізованим транспортом постачальника (фургон рефрижератор) з дотриманням санітарних вимог, в тому числі щодо сумісності продуктів харчування;</w:t>
      </w:r>
    </w:p>
    <w:p>
      <w:pPr>
        <w:widowControl w:val="0"/>
        <w:suppressAutoHyphens/>
        <w:spacing w:before="0" w:after="0" w:line="100" w:lineRule="atLeast"/>
        <w:ind w:left="0"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продукція харчової промисловості повинна зберігатися в складському приміщенні із відповідним  температурним режимом та належними умовами зберігання. Для підтвердження такої вимоги Учасник у складі тендерної пропозиції повинен надати: копії не менше 2-х актів відбору змивів з поверхонь об’єктів для санітарно-мікробіологічного випробування останній із яких повинен бути датований не раніше ніж за 3 (три) місяці до дати подачі тендерної пропозиції, а також копії експертних висновків перевірки зразків, що були відібрані згідно наданих актів відбору змивів з поверхонь об’єктів для санітарно-мікробіологічного випробування;</w:t>
      </w:r>
    </w:p>
    <w:p>
      <w:pPr>
        <w:widowControl w:val="0"/>
        <w:suppressAutoHyphens/>
        <w:spacing w:before="0" w:after="0" w:line="100" w:lineRule="atLeast"/>
        <w:ind w:left="0"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учасник процедури закупівлі повинен забезпечити проведення щоденних заходів по дезінфекції складського/складських приміщення/приміщень. Враховуючи, що предметом закупівлі є швидкопсувні продукти харчування дезінфекція приміщення повинна здійснюватися виключно дезінфекційними засобами, що придатні для використання із продуктами харчування. Для підтвердження вказаної умови учасники повинні надати у складі тендерної пропозиції довідку в довільній формі у якій потрібно зазначити перелік дезінфекційних засобів, що використовуються особою відповідальною за проведення дезінфекційних робіт. Для підтвердження наявності дезінфекційних засобів учасник надає наступні документи: договір купівлі-продажу або видаткові накладні або акти-прийому передачі, що підтверджують купівлю дезінфекційних засобів.</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Вразі поставки товару неналежної якості термін заміни товару Постачальником становить 2 дні з моменту  </w:t>
      </w:r>
      <w:r>
        <w:rPr>
          <w:rFonts w:ascii="Times New Roman" w:hAnsi="Times New Roman" w:eastAsia="Arial Unicode MS" w:cs="Times New Roman"/>
          <w:color w:val="000000"/>
          <w:sz w:val="24"/>
          <w:szCs w:val="24"/>
          <w:lang w:eastAsia="hi-IN" w:bidi="hi-IN"/>
        </w:rPr>
        <w:t>з моменту встановлення, що товар не відповідає встановленим якісним характеристикам</w:t>
      </w:r>
      <w:r>
        <w:rPr>
          <w:rFonts w:ascii="Times New Roman" w:hAnsi="Times New Roman" w:cs="Times New Roman"/>
          <w:color w:val="000000"/>
          <w:sz w:val="24"/>
          <w:szCs w:val="24"/>
        </w:rPr>
        <w:t>.</w:t>
      </w:r>
    </w:p>
    <w:p>
      <w:pPr>
        <w:spacing w:before="0" w:after="0" w:line="100" w:lineRule="atLeast"/>
        <w:ind w:left="0" w:right="0" w:firstLine="539"/>
        <w:jc w:val="both"/>
        <w:rPr>
          <w:rFonts w:ascii="Times New Roman" w:hAnsi="Times New Roman" w:eastAsia="Times New Roman" w:cs="Times New Roman"/>
          <w:bCs/>
          <w:color w:val="000000"/>
          <w:sz w:val="24"/>
          <w:szCs w:val="24"/>
        </w:rPr>
      </w:pPr>
      <w:r>
        <w:rPr>
          <w:rFonts w:ascii="Times New Roman" w:hAnsi="Times New Roman" w:cs="Times New Roman"/>
          <w:color w:val="000000"/>
          <w:sz w:val="24"/>
          <w:szCs w:val="24"/>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eastAsia="Times New Roman" w:cs="Times New Roman"/>
          <w:bCs/>
          <w:color w:val="000000"/>
          <w:sz w:val="24"/>
          <w:szCs w:val="24"/>
        </w:rPr>
        <w:t xml:space="preserve">5. Учасником у складі тендерної пропозиції надається гарантійний лист виробника </w:t>
      </w:r>
      <w:r>
        <w:rPr>
          <w:rFonts w:ascii="Times New Roman" w:hAnsi="Times New Roman" w:eastAsia="Times New Roman" w:cs="Times New Roman"/>
          <w:color w:val="000000"/>
          <w:sz w:val="24"/>
          <w:szCs w:val="24"/>
        </w:rPr>
        <w:t>(представництва, філії виробника – якщо їх відповідні повноваження поширюються на територію України, але при цьому вони безпосередньо не здійснюють комерційної діяльності</w:t>
      </w:r>
      <w:r>
        <w:rPr>
          <w:rFonts w:ascii="Times New Roman" w:hAnsi="Times New Roman" w:cs="Times New Roman"/>
          <w:color w:val="000000"/>
          <w:sz w:val="24"/>
          <w:szCs w:val="24"/>
        </w:rPr>
        <w:t xml:space="preserve"> з документальним підтвердженням повноважень</w:t>
      </w:r>
      <w:r>
        <w:rPr>
          <w:rFonts w:ascii="Times New Roman" w:hAnsi="Times New Roman" w:eastAsia="Times New Roman" w:cs="Times New Roman"/>
          <w:color w:val="000000"/>
          <w:sz w:val="24"/>
          <w:szCs w:val="24"/>
        </w:rPr>
        <w:t>), якщо учасник процедури не являється безпосереднім виробником товару, яким підтверджується факт співпраці із учасником щодо можливості поставки товару, який є предметом закупівлі цих торгів. У випадку якщо, учасник є безпосереднім виробником продукції (товару) у складі тендерної пропозиції надається гарантійний лист у якому учасник підтверджує свою можливість поставки товару, який є предметом закупівлі цих торгів.</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На підтвердження дотримання вимог ст. 44 Закону України «Про основні принципи та вимоги до безпечності та якості харчових продуктів» №771/97-ВР Учасник надає у складі тендерної пропозиції оригінал або завірену копію діючого впродовж всього строку поставки товару договору/договорів на проведення дезінфекції транспортних засобів, які зазначені у довідці на наявність в учасника обладнання та матеріально-технічної бази та які будуть використовуватися для перевезення продуктів харчування із наданням у складі тендерної пропозиції не менше ніж 2-х (двох) актів, які підтверджують надання послуг (виконання робіт), за вищезазначеним договором, останній із яких повинен бути датований не раніше ніж за 30 днів до дати подачі тендерної пропозиції. </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У разі якщо в учасника відсутні власні транспортні засоби, а доставка здійснюється відповідно до договору перевезення вантажу/ поставки товару, учасником надаються документи що вимагаються у абзаці першому пункту 6 додатку 1 до тендерної документації, що видані на перевізника із яким укладено договір перевезення вантажу/ поставки товару.</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7. 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w:t>
      </w:r>
    </w:p>
    <w:p>
      <w:pPr>
        <w:spacing w:before="0" w:after="0" w:line="100" w:lineRule="atLeast"/>
        <w:ind w:left="0" w:right="0" w:firstLine="539"/>
        <w:jc w:val="both"/>
        <w:rPr>
          <w:rFonts w:ascii="Times New Roman" w:hAnsi="Times New Roman" w:eastAsia="Times New Roman" w:cs="Times New Roman"/>
          <w:color w:val="000000"/>
          <w:sz w:val="24"/>
          <w:szCs w:val="24"/>
        </w:rPr>
      </w:pPr>
      <w:r>
        <w:rPr>
          <w:rFonts w:ascii="Times New Roman" w:hAnsi="Times New Roman" w:cs="Times New Roman"/>
          <w:color w:val="000000"/>
          <w:sz w:val="24"/>
          <w:szCs w:val="24"/>
        </w:rPr>
        <w:t>- 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складеного згідно Наказу Міністерства аграрної політики та продовольства України №477 від 08.08.2019 року, виданого компетентним органом (вказаний акт повинен бути виданий не раніше 2021 року) (документ повинен бути виданий на ім’я учасника);</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eastAsia="Times New Roman" w:cs="Times New Roman"/>
          <w:color w:val="000000"/>
          <w:sz w:val="24"/>
          <w:szCs w:val="24"/>
        </w:rPr>
        <w:t xml:space="preserve">- копію договору на дератизацію приміщення (приміщень) </w:t>
      </w:r>
      <w:r>
        <w:rPr>
          <w:rFonts w:ascii="Times New Roman" w:hAnsi="Times New Roman" w:cs="Times New Roman"/>
          <w:color w:val="000000"/>
          <w:sz w:val="24"/>
          <w:szCs w:val="24"/>
        </w:rPr>
        <w:t xml:space="preserve">які зазначені учасником у довідці на наявність обладнання та матеріально-технічної бази, що укладений </w:t>
      </w:r>
      <w:r>
        <w:rPr>
          <w:rFonts w:ascii="Times New Roman" w:hAnsi="Times New Roman" w:eastAsia="Times New Roman" w:cs="Times New Roman"/>
          <w:color w:val="000000"/>
          <w:sz w:val="24"/>
          <w:szCs w:val="24"/>
        </w:rPr>
        <w:t>з установою, яка має право на проведення таких робіт. У разі здійснення таких робіт суб'єктами господарювання приватної форми власності, учаснику потрібно надати копії підтверджувальних документів на право проведення таких робіт</w:t>
      </w:r>
      <w:r>
        <w:rPr>
          <w:rFonts w:ascii="Times New Roman" w:hAnsi="Times New Roman" w:cs="Times New Roman"/>
          <w:color w:val="000000"/>
          <w:sz w:val="24"/>
          <w:szCs w:val="24"/>
        </w:rPr>
        <w:t>/надання послуг. Строк дії наданого учасником договору повинен бути не меншим ніж визначений Замовником термін поставки товару за договором;</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копію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w:t>
      </w:r>
      <w:r>
        <w:rPr>
          <w:rFonts w:hint="default" w:ascii="Times New Roman" w:hAnsi="Times New Roman" w:cs="Times New Roman"/>
          <w:color w:val="000000"/>
          <w:sz w:val="24"/>
          <w:szCs w:val="24"/>
          <w:lang w:val="uk-UA"/>
        </w:rPr>
        <w:t xml:space="preserve"> </w:t>
      </w:r>
      <w:bookmarkStart w:id="2" w:name="_GoBack"/>
      <w:bookmarkEnd w:id="2"/>
      <w:r>
        <w:rPr>
          <w:rFonts w:ascii="Times New Roman" w:hAnsi="Times New Roman" w:cs="Times New Roman"/>
          <w:color w:val="000000"/>
          <w:sz w:val="24"/>
          <w:szCs w:val="24"/>
        </w:rPr>
        <w:t>У;</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копію протоколів або експертних висновків, що підтверджують відсутність ГМО у запропонованому учасником товарі, не менше одного виданого у 2021 році та не менше одного виданого у 2022 році (документи повинні бути видані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Pr>
          <w:rFonts w:ascii="Times New Roman" w:hAnsi="Times New Roman" w:eastAsia="Times New Roman" w:cs="Times New Roman"/>
          <w:color w:val="000000"/>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r>
        <w:rPr>
          <w:rFonts w:ascii="Times New Roman" w:hAnsi="Times New Roman" w:cs="Times New Roman"/>
          <w:color w:val="000000"/>
          <w:sz w:val="24"/>
          <w:szCs w:val="24"/>
        </w:rPr>
        <w:t>;</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копію експертних висновків, що підтверджують відсутність у запропонованому учасником товарі патогенних мікроорганізмів, в т.ч. сальмонели, лістерії, токсичних елементів і мікотоксинів, антибіотиків, гормонів, пестицидів, нітрозаміни і радіонуклідів, не менше одного виданого у 2021 році та не менше одного виданого у 2022 році  (документи повинні бути видані на ім’я учасника або виробника товару). Додатково учасник надає сканований оригінал атестату про акредитацію лабораторії, якою проводилися дослідження продукції,</w:t>
      </w:r>
      <w:r>
        <w:rPr>
          <w:rFonts w:ascii="Times New Roman" w:hAnsi="Times New Roman" w:eastAsia="Times New Roman" w:cs="Times New Roman"/>
          <w:color w:val="000000"/>
          <w:sz w:val="24"/>
          <w:szCs w:val="24"/>
          <w:lang w:eastAsia="zh-CN"/>
        </w:rPr>
        <w:t xml:space="preserve"> при цьому даний атестат має свідчити про можливість проведення зазначеною лабораторією відповідних досліджень;</w:t>
      </w:r>
    </w:p>
    <w:p>
      <w:pPr>
        <w:spacing w:before="0" w:after="0" w:line="100" w:lineRule="atLeast"/>
        <w:ind w:left="0" w:right="0"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копію експертного висновку перевірки питної води, що використовується учасником у своїй діяльності, щодо відповідності ДСанПіН 2.2.4-171-10; ДСТУ 7525:2014; за вмістом нітратів, нітритів, органолептичними та фізико-хімічними показниками (документ повинен бути виданий на ім’я учасника);</w:t>
      </w:r>
    </w:p>
    <w:p>
      <w:pPr>
        <w:widowControl w:val="0"/>
        <w:suppressAutoHyphens/>
        <w:spacing w:before="0" w:after="0" w:line="100" w:lineRule="atLeast"/>
        <w:ind w:left="0" w:right="0"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копію чинного висновку державної санітарно-епідеміологічної експертизи наданої на ящики полімерні у яких учасник планує здійснювати перевезення товарів, що є предметом закупівлі. У наданому висновку повинна міститися інформація що ящики полімерні придатні як тара для харчових продуктів. Для підтвердження наявності відповідних ящиків учасник надає наступні документи: договір купівлі-продажу або видаткові накладні або акти-прийому передачі товару;</w:t>
      </w:r>
    </w:p>
    <w:p>
      <w:pPr>
        <w:spacing w:before="0" w:after="0" w:line="100" w:lineRule="atLeast"/>
        <w:ind w:left="0" w:right="0" w:firstLine="539"/>
        <w:jc w:val="both"/>
        <w:rPr>
          <w:rFonts w:ascii="Times New Roman" w:hAnsi="Times New Roman" w:eastAsia="Times New Roman" w:cs="Times New Roman"/>
          <w:color w:val="000000"/>
          <w:sz w:val="24"/>
          <w:szCs w:val="24"/>
          <w:lang w:eastAsia="zh-CN"/>
        </w:rPr>
      </w:pPr>
      <w:r>
        <w:rPr>
          <w:rFonts w:ascii="Times New Roman" w:hAnsi="Times New Roman" w:cs="Times New Roman"/>
          <w:color w:val="000000"/>
          <w:sz w:val="24"/>
          <w:szCs w:val="24"/>
        </w:rPr>
        <w:t>- на виконання вимог статті 25 Закону України "Про основні принципи та вимоги до безпечності та якості харчових продуктів"</w:t>
      </w:r>
      <w:r>
        <w:rPr>
          <w:rStyle w:val="5"/>
          <w:rFonts w:ascii="Times New Roman" w:hAnsi="Times New Roman" w:cs="Times New Roman"/>
          <w:color w:val="000000"/>
          <w:sz w:val="24"/>
          <w:szCs w:val="24"/>
        </w:rPr>
        <w:t xml:space="preserve"> Учасник повинен надати у складі тендерної пропозиції копію експлуатаційного дозволу виробника на здійснення діяльності, пов’язаної з виробництвом та/або зберіганням харчових продуктів тваринного походження.</w:t>
      </w:r>
      <w:bookmarkStart w:id="0" w:name="Bookmark"/>
      <w:bookmarkEnd w:id="0"/>
      <w:r>
        <w:rPr>
          <w:rFonts w:ascii="Times New Roman" w:hAnsi="Times New Roman" w:cs="Times New Roman"/>
          <w:color w:val="000000"/>
          <w:sz w:val="24"/>
          <w:szCs w:val="24"/>
        </w:rPr>
        <w:t xml:space="preserve">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pPr>
        <w:spacing w:before="0" w:after="0" w:line="100" w:lineRule="atLeast"/>
        <w:ind w:left="0" w:right="0" w:firstLine="539"/>
        <w:jc w:val="both"/>
        <w:rPr>
          <w:rFonts w:ascii="Times New Roman" w:hAnsi="Times New Roman" w:cs="Times New Roman"/>
          <w:iCs/>
          <w:color w:val="000000"/>
          <w:sz w:val="24"/>
          <w:szCs w:val="24"/>
        </w:rPr>
      </w:pPr>
      <w:r>
        <w:rPr>
          <w:rFonts w:ascii="Times New Roman" w:hAnsi="Times New Roman" w:eastAsia="Times New Roman" w:cs="Times New Roman"/>
          <w:color w:val="000000"/>
          <w:sz w:val="24"/>
          <w:szCs w:val="24"/>
          <w:lang w:eastAsia="zh-CN"/>
        </w:rPr>
        <w:t xml:space="preserve">- копію експертного висновку про проходження державного моніторингу залишків ветеринарних препаратів та забруднювачів у живих тваринах і необроблених харчових продуктах тваринного походження, виданого </w:t>
      </w:r>
      <w:r>
        <w:rPr>
          <w:rFonts w:ascii="Times New Roman" w:hAnsi="Times New Roman" w:cs="Times New Roman"/>
          <w:color w:val="000000"/>
          <w:sz w:val="24"/>
          <w:szCs w:val="24"/>
          <w:lang w:val="uk-UA" w:eastAsia="zh-CN"/>
        </w:rPr>
        <w:t>не</w:t>
      </w:r>
      <w:r>
        <w:rPr>
          <w:rFonts w:hint="default" w:ascii="Times New Roman" w:hAnsi="Times New Roman" w:cs="Times New Roman"/>
          <w:color w:val="000000"/>
          <w:sz w:val="24"/>
          <w:szCs w:val="24"/>
          <w:lang w:val="uk-UA" w:eastAsia="zh-CN"/>
        </w:rPr>
        <w:t xml:space="preserve"> раніше</w:t>
      </w:r>
      <w:r>
        <w:rPr>
          <w:rFonts w:ascii="Times New Roman" w:hAnsi="Times New Roman" w:eastAsia="Times New Roman" w:cs="Times New Roman"/>
          <w:color w:val="000000"/>
          <w:sz w:val="24"/>
          <w:szCs w:val="24"/>
          <w:lang w:eastAsia="zh-CN"/>
        </w:rPr>
        <w:t xml:space="preserve"> 2021 ро</w:t>
      </w:r>
      <w:r>
        <w:rPr>
          <w:rFonts w:ascii="Times New Roman" w:hAnsi="Times New Roman" w:cs="Times New Roman"/>
          <w:color w:val="000000"/>
          <w:sz w:val="24"/>
          <w:szCs w:val="24"/>
          <w:lang w:val="uk-UA" w:eastAsia="zh-CN"/>
        </w:rPr>
        <w:t>ку</w:t>
      </w:r>
      <w:r>
        <w:rPr>
          <w:rFonts w:ascii="Times New Roman" w:hAnsi="Times New Roman" w:eastAsia="Times New Roman" w:cs="Times New Roman"/>
          <w:color w:val="000000"/>
          <w:sz w:val="24"/>
          <w:szCs w:val="24"/>
          <w:lang w:eastAsia="zh-CN"/>
        </w:rPr>
        <w:t xml:space="preserve"> </w:t>
      </w:r>
      <w:r>
        <w:rPr>
          <w:rFonts w:ascii="Times New Roman" w:hAnsi="Times New Roman" w:cs="Times New Roman"/>
          <w:color w:val="000000"/>
          <w:sz w:val="24"/>
          <w:szCs w:val="24"/>
        </w:rPr>
        <w:t xml:space="preserve">(документ повинен бути виданий на ім’я виробника товару) (вимога </w:t>
      </w:r>
      <w:r>
        <w:rPr>
          <w:rFonts w:ascii="Times New Roman" w:hAnsi="Times New Roman" w:eastAsia="Times New Roman" w:cs="Times New Roman"/>
          <w:color w:val="000000"/>
          <w:sz w:val="24"/>
          <w:szCs w:val="24"/>
          <w:lang w:eastAsia="zh-CN"/>
        </w:rPr>
        <w:t>стосується лише яловичини, свинини, курятини, яловичої та свинної печінки)</w:t>
      </w:r>
      <w:r>
        <w:rPr>
          <w:rFonts w:ascii="Times New Roman" w:hAnsi="Times New Roman" w:cs="Times New Roman"/>
          <w:color w:val="000000"/>
          <w:sz w:val="24"/>
          <w:szCs w:val="24"/>
        </w:rPr>
        <w:t>;</w:t>
      </w:r>
    </w:p>
    <w:p>
      <w:pPr>
        <w:spacing w:before="0" w:after="0" w:line="100" w:lineRule="atLeast"/>
        <w:ind w:left="0" w:right="0" w:firstLine="539"/>
        <w:jc w:val="both"/>
        <w:rPr>
          <w:rFonts w:ascii="Times New Roman" w:hAnsi="Times New Roman" w:eastAsia="Calibri" w:cs="Times New Roman"/>
          <w:b/>
          <w:sz w:val="24"/>
          <w:szCs w:val="24"/>
          <w:u w:val="single"/>
        </w:rPr>
      </w:pPr>
      <w:r>
        <w:rPr>
          <w:rFonts w:ascii="Times New Roman" w:hAnsi="Times New Roman" w:cs="Times New Roman"/>
          <w:iCs/>
          <w:color w:val="000000"/>
          <w:sz w:val="24"/>
          <w:szCs w:val="24"/>
        </w:rPr>
        <w:t xml:space="preserve">- копії діючих сертифікатів на систему управління безпечністю харчових продуктів ДСТУ </w:t>
      </w:r>
      <w:r>
        <w:rPr>
          <w:rFonts w:ascii="Times New Roman" w:hAnsi="Times New Roman" w:cs="Times New Roman"/>
          <w:iCs/>
          <w:color w:val="000000"/>
          <w:sz w:val="24"/>
          <w:szCs w:val="24"/>
          <w:lang w:val="en-US"/>
        </w:rPr>
        <w:t>ISO</w:t>
      </w:r>
      <w:r>
        <w:rPr>
          <w:rFonts w:ascii="Times New Roman" w:hAnsi="Times New Roman" w:cs="Times New Roman"/>
          <w:iCs/>
          <w:color w:val="000000"/>
          <w:sz w:val="24"/>
          <w:szCs w:val="24"/>
        </w:rPr>
        <w:t xml:space="preserve"> 22000, систему управління якістю ДСТУ </w:t>
      </w:r>
      <w:r>
        <w:rPr>
          <w:rFonts w:ascii="Times New Roman" w:hAnsi="Times New Roman" w:cs="Times New Roman"/>
          <w:iCs/>
          <w:color w:val="000000"/>
          <w:sz w:val="24"/>
          <w:szCs w:val="24"/>
          <w:lang w:val="en-US"/>
        </w:rPr>
        <w:t>ISO</w:t>
      </w:r>
      <w:r>
        <w:rPr>
          <w:rFonts w:ascii="Times New Roman" w:hAnsi="Times New Roman" w:cs="Times New Roman"/>
          <w:iCs/>
          <w:color w:val="000000"/>
          <w:sz w:val="24"/>
          <w:szCs w:val="24"/>
        </w:rPr>
        <w:t xml:space="preserve"> 9001 та систему екологічного управління ДСТУ </w:t>
      </w:r>
      <w:r>
        <w:rPr>
          <w:rFonts w:ascii="Times New Roman" w:hAnsi="Times New Roman" w:cs="Times New Roman"/>
          <w:iCs/>
          <w:color w:val="000000"/>
          <w:sz w:val="24"/>
          <w:szCs w:val="24"/>
          <w:lang w:val="en-US"/>
        </w:rPr>
        <w:t>ISO</w:t>
      </w:r>
      <w:r>
        <w:rPr>
          <w:rFonts w:ascii="Times New Roman" w:hAnsi="Times New Roman" w:cs="Times New Roman"/>
          <w:iCs/>
          <w:color w:val="000000"/>
          <w:sz w:val="24"/>
          <w:szCs w:val="24"/>
        </w:rPr>
        <w:t xml:space="preserve"> 14001 виданих на ім’я учасника, із сферою сертифікації або сферою діяльності, що пов'язана із виробництвом м’яса або оптовою торгівле</w:t>
      </w:r>
      <w:bookmarkStart w:id="1" w:name="Bookmark1"/>
      <w:bookmarkEnd w:id="1"/>
      <w:r>
        <w:rPr>
          <w:rFonts w:ascii="Times New Roman" w:hAnsi="Times New Roman" w:cs="Times New Roman"/>
          <w:iCs/>
          <w:color w:val="000000"/>
          <w:sz w:val="24"/>
          <w:szCs w:val="24"/>
        </w:rPr>
        <w:t xml:space="preserve">ю м’ясом, чинних на дату кінцевого строку подання тендерних пропозицій. </w:t>
      </w:r>
    </w:p>
    <w:p>
      <w:pPr>
        <w:spacing w:after="0" w:line="240" w:lineRule="auto"/>
        <w:contextualSpacing/>
        <w:rPr>
          <w:rFonts w:ascii="Times New Roman" w:hAnsi="Times New Roman" w:eastAsia="Calibri"/>
          <w:b/>
          <w:sz w:val="24"/>
          <w:szCs w:val="24"/>
          <w:u w:val="single"/>
        </w:rPr>
      </w:pPr>
    </w:p>
    <w:p>
      <w:pPr>
        <w:jc w:val="center"/>
        <w:rPr>
          <w:rFonts w:ascii="Times New Roman" w:hAnsi="Times New Roman"/>
          <w:b/>
          <w:sz w:val="24"/>
          <w:szCs w:val="24"/>
        </w:rPr>
      </w:pPr>
      <w:r>
        <w:rPr>
          <w:rFonts w:ascii="Times New Roman" w:hAnsi="Times New Roman"/>
          <w:b/>
          <w:sz w:val="24"/>
          <w:szCs w:val="24"/>
        </w:rPr>
        <w:t>З умовами технічних та якісних вимог до предмету закупівліознайомлені, з вимогами погоджуємось</w:t>
      </w:r>
    </w:p>
    <w:p>
      <w:pPr>
        <w:autoSpaceDE w:val="0"/>
        <w:autoSpaceDN w:val="0"/>
        <w:jc w:val="both"/>
        <w:rPr>
          <w:rFonts w:ascii="Times New Roman" w:hAnsi="Times New Roman"/>
          <w:b/>
          <w:sz w:val="24"/>
          <w:szCs w:val="24"/>
        </w:rPr>
      </w:pPr>
      <w:r>
        <w:rPr>
          <w:rFonts w:ascii="Times New Roman" w:hAnsi="Times New Roman"/>
          <w:sz w:val="24"/>
          <w:szCs w:val="24"/>
        </w:rPr>
        <w:t>"___" ________________ 20___ року________________________________</w:t>
      </w:r>
    </w:p>
    <w:p>
      <w:pPr>
        <w:autoSpaceDE w:val="0"/>
        <w:autoSpaceDN w:val="0"/>
        <w:jc w:val="both"/>
        <w:rPr>
          <w:rFonts w:ascii="Times New Roman" w:hAnsi="Times New Roman"/>
          <w:sz w:val="16"/>
          <w:szCs w:val="16"/>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16"/>
          <w:szCs w:val="16"/>
        </w:rPr>
        <w:t xml:space="preserve">[Підпис] [прізвище, ініціали, посада уповноваженої особи учасника] </w:t>
      </w:r>
    </w:p>
    <w:p>
      <w:pPr>
        <w:autoSpaceDE w:val="0"/>
        <w:autoSpaceDN w:val="0"/>
        <w:jc w:val="both"/>
        <w:rPr>
          <w:rFonts w:ascii="Times New Roman" w:hAnsi="Times New Roman"/>
          <w:sz w:val="16"/>
          <w:szCs w:val="16"/>
        </w:rPr>
      </w:pPr>
      <w:r>
        <w:rPr>
          <w:rFonts w:ascii="Times New Roman" w:hAnsi="Times New Roman"/>
          <w:sz w:val="16"/>
          <w:szCs w:val="16"/>
        </w:rPr>
        <w:t>М.П. (у разі наявності печатки)</w:t>
      </w:r>
    </w:p>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Arial Unicode MS">
    <w:panose1 w:val="020B0604020202020204"/>
    <w:charset w:val="86"/>
    <w:family w:val="swiss"/>
    <w:pitch w:val="default"/>
    <w:sig w:usb0="00000000" w:usb1="00000000" w:usb2="00000000" w:usb3="00000000" w:csb0="003E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C4"/>
    <w:rsid w:val="00292716"/>
    <w:rsid w:val="00344136"/>
    <w:rsid w:val="004A7B49"/>
    <w:rsid w:val="005D7C49"/>
    <w:rsid w:val="007874C4"/>
    <w:rsid w:val="009C1F3C"/>
    <w:rsid w:val="00D2588C"/>
    <w:rsid w:val="00ED30FF"/>
    <w:rsid w:val="11565F00"/>
    <w:rsid w:val="1F3F4944"/>
    <w:rsid w:val="2DF6FC97"/>
    <w:rsid w:val="571D6FA2"/>
    <w:rsid w:val="7D7B7434"/>
    <w:rsid w:val="BFD1146F"/>
    <w:rsid w:val="DFFB10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uk-UA"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rvps2"/>
    <w:basedOn w:val="1"/>
    <w:qFormat/>
    <w:uiPriority w:val="0"/>
    <w:pPr>
      <w:suppressAutoHyphens/>
      <w:spacing w:before="280" w:after="280" w:line="240" w:lineRule="auto"/>
    </w:pPr>
    <w:rPr>
      <w:rFonts w:ascii="Times New Roman" w:hAnsi="Times New Roman" w:eastAsia="Times New Roman" w:cs="Times New Roman"/>
      <w:sz w:val="24"/>
      <w:szCs w:val="24"/>
      <w:lang w:val="ru-RU" w:eastAsia="zh-CN"/>
    </w:rPr>
  </w:style>
  <w:style w:type="character" w:customStyle="1" w:styleId="5">
    <w:name w:val="rvts9"/>
    <w:basedOn w:val="2"/>
    <w:qFormat/>
    <w:uiPriority w:val="0"/>
  </w:style>
  <w:style w:type="character" w:customStyle="1" w:styleId="6">
    <w:name w:val="Default Paragraph Font1"/>
    <w:uiPriority w:val="6"/>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1565</Words>
  <Characters>8923</Characters>
  <Lines>74</Lines>
  <Paragraphs>20</Paragraphs>
  <TotalTime>3</TotalTime>
  <ScaleCrop>false</ScaleCrop>
  <LinksUpToDate>false</LinksUpToDate>
  <CharactersWithSpaces>10468</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2021-12-05T09:59:00Z</dcterms:created>
  <dc:creator>T440</dc:creator>
  <cp:lastModifiedBy>google1589453068</cp:lastModifiedBy>
  <dcterms:modified xsi:type="dcterms:W3CDTF">2023-01-12T17:07:27Z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