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E1" w:rsidRPr="009A3170" w:rsidRDefault="00616BE1" w:rsidP="00616BE1">
      <w:pPr>
        <w:spacing w:after="0" w:line="240" w:lineRule="auto"/>
        <w:jc w:val="right"/>
        <w:rPr>
          <w:rFonts w:ascii="Times New Roman" w:hAnsi="Times New Roman" w:cs="Times New Roman"/>
          <w:b/>
          <w:sz w:val="24"/>
          <w:szCs w:val="24"/>
          <w:lang w:val="uk-UA"/>
        </w:rPr>
      </w:pPr>
      <w:r w:rsidRPr="009A3170">
        <w:rPr>
          <w:rFonts w:ascii="Times New Roman" w:hAnsi="Times New Roman" w:cs="Times New Roman"/>
          <w:b/>
          <w:sz w:val="24"/>
          <w:szCs w:val="24"/>
          <w:lang w:val="uk-UA"/>
        </w:rPr>
        <w:t>ДОДАТОК №2</w:t>
      </w:r>
    </w:p>
    <w:p w:rsidR="00616BE1" w:rsidRPr="009A3170" w:rsidRDefault="00616BE1" w:rsidP="00616BE1">
      <w:pPr>
        <w:spacing w:after="0" w:line="240" w:lineRule="auto"/>
        <w:jc w:val="center"/>
        <w:rPr>
          <w:rFonts w:ascii="Times New Roman" w:hAnsi="Times New Roman" w:cs="Times New Roman"/>
          <w:b/>
          <w:sz w:val="24"/>
          <w:szCs w:val="24"/>
          <w:lang w:val="uk-UA"/>
        </w:rPr>
      </w:pPr>
      <w:r w:rsidRPr="009A3170">
        <w:rPr>
          <w:rFonts w:ascii="Times New Roman" w:hAnsi="Times New Roman" w:cs="Times New Roman"/>
          <w:b/>
          <w:sz w:val="24"/>
          <w:szCs w:val="24"/>
          <w:lang w:val="uk-UA"/>
        </w:rPr>
        <w:t>Технічна специфікація</w:t>
      </w:r>
    </w:p>
    <w:p w:rsidR="00616BE1" w:rsidRPr="009A3170" w:rsidRDefault="00616BE1" w:rsidP="00616BE1">
      <w:pPr>
        <w:spacing w:after="0" w:line="240" w:lineRule="auto"/>
        <w:jc w:val="center"/>
        <w:rPr>
          <w:rFonts w:ascii="Times New Roman" w:hAnsi="Times New Roman" w:cs="Times New Roman"/>
          <w:b/>
          <w:sz w:val="24"/>
          <w:szCs w:val="24"/>
          <w:lang w:val="uk-UA"/>
        </w:rPr>
      </w:pPr>
      <w:r w:rsidRPr="009A3170">
        <w:rPr>
          <w:rFonts w:ascii="Times New Roman" w:hAnsi="Times New Roman" w:cs="Times New Roman"/>
          <w:b/>
          <w:sz w:val="24"/>
          <w:szCs w:val="24"/>
          <w:lang w:val="uk-UA"/>
        </w:rPr>
        <w:t>на закупівлю:</w:t>
      </w:r>
    </w:p>
    <w:p w:rsidR="00616BE1" w:rsidRPr="009A3170" w:rsidRDefault="00616BE1" w:rsidP="00616BE1">
      <w:pPr>
        <w:spacing w:after="0" w:line="240" w:lineRule="auto"/>
        <w:jc w:val="center"/>
        <w:rPr>
          <w:rFonts w:ascii="Times New Roman" w:hAnsi="Times New Roman" w:cs="Times New Roman"/>
          <w:b/>
          <w:sz w:val="24"/>
          <w:szCs w:val="24"/>
          <w:lang w:val="uk-UA"/>
        </w:rPr>
      </w:pPr>
      <w:r w:rsidRPr="009A3170">
        <w:rPr>
          <w:rFonts w:ascii="Times New Roman" w:hAnsi="Times New Roman" w:cs="Times New Roman"/>
          <w:b/>
          <w:sz w:val="24"/>
          <w:szCs w:val="24"/>
          <w:lang w:val="uk-UA"/>
        </w:rPr>
        <w:t>ДК 021:2015: 38630000-0 — Астрономічні та оптичні прилади (Приціл)</w:t>
      </w:r>
    </w:p>
    <w:p w:rsidR="00616BE1" w:rsidRPr="009A3170" w:rsidRDefault="00616BE1" w:rsidP="00616BE1">
      <w:pPr>
        <w:spacing w:after="0" w:line="240" w:lineRule="auto"/>
        <w:rPr>
          <w:rFonts w:ascii="Times New Roman" w:hAnsi="Times New Roman" w:cs="Times New Roman"/>
          <w:b/>
          <w:sz w:val="24"/>
          <w:szCs w:val="24"/>
          <w:lang w:val="uk-UA"/>
        </w:rPr>
      </w:pPr>
    </w:p>
    <w:p w:rsidR="00616BE1" w:rsidRPr="009A3170" w:rsidRDefault="00616BE1" w:rsidP="00616BE1">
      <w:pPr>
        <w:spacing w:after="0" w:line="240" w:lineRule="auto"/>
        <w:jc w:val="both"/>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 xml:space="preserve">    Приціл оптичний </w:t>
      </w:r>
      <w:r w:rsidRPr="009A3170">
        <w:rPr>
          <w:rFonts w:ascii="Times New Roman" w:eastAsia="Calibri" w:hAnsi="Times New Roman" w:cs="Times New Roman"/>
          <w:b/>
          <w:bCs/>
          <w:i/>
          <w:iCs/>
          <w:kern w:val="2"/>
          <w:sz w:val="24"/>
          <w:szCs w:val="24"/>
          <w:lang w:val="ru-RU"/>
          <w14:ligatures w14:val="standardContextual"/>
        </w:rPr>
        <w:t>Vortex</w:t>
      </w:r>
      <w:r w:rsidRPr="009A3170">
        <w:rPr>
          <w:rFonts w:ascii="Times New Roman" w:eastAsia="Calibri" w:hAnsi="Times New Roman" w:cs="Times New Roman"/>
          <w:b/>
          <w:bCs/>
          <w:i/>
          <w:iCs/>
          <w:kern w:val="2"/>
          <w:sz w:val="24"/>
          <w:szCs w:val="24"/>
          <w:lang w:val="uk-UA"/>
          <w14:ligatures w14:val="standardContextual"/>
        </w:rPr>
        <w:t xml:space="preserve"> </w:t>
      </w:r>
      <w:r w:rsidRPr="009A3170">
        <w:rPr>
          <w:rFonts w:ascii="Times New Roman" w:eastAsia="Calibri" w:hAnsi="Times New Roman" w:cs="Times New Roman"/>
          <w:b/>
          <w:bCs/>
          <w:i/>
          <w:iCs/>
          <w:kern w:val="2"/>
          <w:sz w:val="24"/>
          <w:szCs w:val="24"/>
          <w:lang w:val="ru-RU"/>
          <w14:ligatures w14:val="standardContextual"/>
        </w:rPr>
        <w:t>Razor</w:t>
      </w:r>
      <w:r w:rsidRPr="009A3170">
        <w:rPr>
          <w:rFonts w:ascii="Times New Roman" w:eastAsia="Calibri" w:hAnsi="Times New Roman" w:cs="Times New Roman"/>
          <w:b/>
          <w:bCs/>
          <w:i/>
          <w:iCs/>
          <w:kern w:val="2"/>
          <w:sz w:val="24"/>
          <w:szCs w:val="24"/>
          <w:lang w:val="uk-UA"/>
          <w14:ligatures w14:val="standardContextual"/>
        </w:rPr>
        <w:t xml:space="preserve"> </w:t>
      </w:r>
      <w:r w:rsidRPr="009A3170">
        <w:rPr>
          <w:rFonts w:ascii="Times New Roman" w:eastAsia="Calibri" w:hAnsi="Times New Roman" w:cs="Times New Roman"/>
          <w:b/>
          <w:bCs/>
          <w:i/>
          <w:iCs/>
          <w:kern w:val="2"/>
          <w:sz w:val="24"/>
          <w:szCs w:val="24"/>
          <w:lang w:val="ru-RU"/>
          <w14:ligatures w14:val="standardContextual"/>
        </w:rPr>
        <w:t>HD</w:t>
      </w:r>
      <w:r w:rsidRPr="009A3170">
        <w:rPr>
          <w:rFonts w:ascii="Times New Roman" w:eastAsia="Calibri" w:hAnsi="Times New Roman" w:cs="Times New Roman"/>
          <w:b/>
          <w:bCs/>
          <w:i/>
          <w:iCs/>
          <w:kern w:val="2"/>
          <w:sz w:val="24"/>
          <w:szCs w:val="24"/>
          <w:lang w:val="uk-UA"/>
          <w14:ligatures w14:val="standardContextual"/>
        </w:rPr>
        <w:t xml:space="preserve"> </w:t>
      </w:r>
      <w:r w:rsidRPr="009A3170">
        <w:rPr>
          <w:rFonts w:ascii="Times New Roman" w:eastAsia="Calibri" w:hAnsi="Times New Roman" w:cs="Times New Roman"/>
          <w:b/>
          <w:bCs/>
          <w:i/>
          <w:iCs/>
          <w:kern w:val="2"/>
          <w:sz w:val="24"/>
          <w:szCs w:val="24"/>
          <w:lang w:val="ru-RU"/>
          <w14:ligatures w14:val="standardContextual"/>
        </w:rPr>
        <w:t>Gen</w:t>
      </w:r>
      <w:r w:rsidRPr="009A3170">
        <w:rPr>
          <w:rFonts w:ascii="Times New Roman" w:eastAsia="Calibri" w:hAnsi="Times New Roman" w:cs="Times New Roman"/>
          <w:b/>
          <w:bCs/>
          <w:i/>
          <w:iCs/>
          <w:kern w:val="2"/>
          <w:sz w:val="24"/>
          <w:szCs w:val="24"/>
          <w:lang w:val="uk-UA"/>
          <w14:ligatures w14:val="standardContextual"/>
        </w:rPr>
        <w:t xml:space="preserve"> </w:t>
      </w:r>
      <w:r w:rsidRPr="009A3170">
        <w:rPr>
          <w:rFonts w:ascii="Times New Roman" w:eastAsia="Calibri" w:hAnsi="Times New Roman" w:cs="Times New Roman"/>
          <w:b/>
          <w:bCs/>
          <w:i/>
          <w:iCs/>
          <w:kern w:val="2"/>
          <w:sz w:val="24"/>
          <w:szCs w:val="24"/>
          <w:lang w:val="ru-RU"/>
          <w14:ligatures w14:val="standardContextual"/>
        </w:rPr>
        <w:t>II</w:t>
      </w:r>
      <w:r w:rsidRPr="009A3170">
        <w:rPr>
          <w:rFonts w:ascii="Times New Roman" w:eastAsia="Calibri" w:hAnsi="Times New Roman" w:cs="Times New Roman"/>
          <w:b/>
          <w:bCs/>
          <w:i/>
          <w:iCs/>
          <w:kern w:val="2"/>
          <w:sz w:val="24"/>
          <w:szCs w:val="24"/>
          <w:lang w:val="uk-UA"/>
          <w14:ligatures w14:val="standardContextual"/>
        </w:rPr>
        <w:t>І 6-36</w:t>
      </w:r>
      <w:r w:rsidRPr="009A3170">
        <w:rPr>
          <w:rFonts w:ascii="Times New Roman" w:eastAsia="Calibri" w:hAnsi="Times New Roman" w:cs="Times New Roman"/>
          <w:b/>
          <w:bCs/>
          <w:i/>
          <w:iCs/>
          <w:kern w:val="2"/>
          <w:sz w:val="24"/>
          <w:szCs w:val="24"/>
          <w:lang w:val="ru-RU"/>
          <w14:ligatures w14:val="standardContextual"/>
        </w:rPr>
        <w:t>x</w:t>
      </w:r>
      <w:r w:rsidRPr="009A3170">
        <w:rPr>
          <w:rFonts w:ascii="Times New Roman" w:eastAsia="Calibri" w:hAnsi="Times New Roman" w:cs="Times New Roman"/>
          <w:b/>
          <w:bCs/>
          <w:i/>
          <w:iCs/>
          <w:kern w:val="2"/>
          <w:sz w:val="24"/>
          <w:szCs w:val="24"/>
          <w:lang w:val="uk-UA"/>
          <w14:ligatures w14:val="standardContextual"/>
        </w:rPr>
        <w:t xml:space="preserve">56 </w:t>
      </w:r>
      <w:r w:rsidRPr="009A3170">
        <w:rPr>
          <w:rFonts w:ascii="Times New Roman" w:eastAsia="Calibri" w:hAnsi="Times New Roman" w:cs="Times New Roman"/>
          <w:b/>
          <w:bCs/>
          <w:i/>
          <w:iCs/>
          <w:kern w:val="2"/>
          <w:sz w:val="24"/>
          <w:szCs w:val="24"/>
          <w:lang w:val="ru-RU"/>
          <w14:ligatures w14:val="standardContextual"/>
        </w:rPr>
        <w:t>F</w:t>
      </w:r>
      <w:r w:rsidRPr="009A3170">
        <w:rPr>
          <w:rFonts w:ascii="Times New Roman" w:eastAsia="Calibri" w:hAnsi="Times New Roman" w:cs="Times New Roman"/>
          <w:b/>
          <w:bCs/>
          <w:i/>
          <w:iCs/>
          <w:kern w:val="2"/>
          <w:sz w:val="24"/>
          <w:szCs w:val="24"/>
          <w:lang w:val="uk-UA"/>
          <w14:ligatures w14:val="standardContextual"/>
        </w:rPr>
        <w:t xml:space="preserve">1 з сіткою </w:t>
      </w:r>
      <w:r w:rsidRPr="009A3170">
        <w:rPr>
          <w:rFonts w:ascii="Times New Roman" w:eastAsia="Calibri" w:hAnsi="Times New Roman" w:cs="Times New Roman"/>
          <w:b/>
          <w:bCs/>
          <w:i/>
          <w:iCs/>
          <w:kern w:val="2"/>
          <w:sz w:val="24"/>
          <w:szCs w:val="24"/>
          <w:lang w:val="ru-RU"/>
          <w14:ligatures w14:val="standardContextual"/>
        </w:rPr>
        <w:t>EBR</w:t>
      </w:r>
      <w:r w:rsidRPr="009A3170">
        <w:rPr>
          <w:rFonts w:ascii="Times New Roman" w:eastAsia="Calibri" w:hAnsi="Times New Roman" w:cs="Times New Roman"/>
          <w:b/>
          <w:bCs/>
          <w:i/>
          <w:iCs/>
          <w:kern w:val="2"/>
          <w:sz w:val="24"/>
          <w:szCs w:val="24"/>
          <w:lang w:val="uk-UA"/>
          <w14:ligatures w14:val="standardContextual"/>
        </w:rPr>
        <w:t>-7</w:t>
      </w:r>
      <w:r w:rsidRPr="009A3170">
        <w:rPr>
          <w:rFonts w:ascii="Times New Roman" w:eastAsia="Calibri" w:hAnsi="Times New Roman" w:cs="Times New Roman"/>
          <w:b/>
          <w:bCs/>
          <w:i/>
          <w:iCs/>
          <w:kern w:val="2"/>
          <w:sz w:val="24"/>
          <w:szCs w:val="24"/>
          <w:lang w:val="ru-RU"/>
          <w14:ligatures w14:val="standardContextual"/>
        </w:rPr>
        <w:t>D</w:t>
      </w:r>
      <w:r w:rsidRPr="009A3170">
        <w:rPr>
          <w:rFonts w:ascii="Times New Roman" w:eastAsia="Calibri" w:hAnsi="Times New Roman" w:cs="Times New Roman"/>
          <w:b/>
          <w:bCs/>
          <w:i/>
          <w:iCs/>
          <w:kern w:val="2"/>
          <w:sz w:val="24"/>
          <w:szCs w:val="24"/>
          <w:lang w:val="uk-UA"/>
          <w14:ligatures w14:val="standardContextual"/>
        </w:rPr>
        <w:t xml:space="preserve"> з підсвічуванням </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xml:space="preserve">Прицільна сітка EBR-7D. Барабани L-Tec+ з функцією Zero System і мікроналаштуванням для надшвидке повернення до пристрілювального нуля. </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Корпус з авіаційного алюмінію.</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Оптична система HD з роздільну здатність, точність відтворення кольору та високий відсоток світлопропускання, зменшення хроматичної аберації.</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Барабани з функцією мікроналаштування: необмежена кількість позицій встановлення нуля дає змогу встановлювати нуль між кліками барабана для оптимальної точності.</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Патентоване покриття XR Plus Fully Multi-Coated Ultimate: неперевершене противідблискове покриття на всіх поверхнях "повітря-скло" забезпечує максимальне світлопропускання для більшої чіткості при слабкому освітленні.</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Оптимізована різкість і яскравість зображення по всьому полю зору.</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ArmorTek: ультратверде, стійке до подряпин покриття захищає зовнішні лінзи від подряпин, мастила та бруду.</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Анодування Stealth Shadow Finish забезпечує матову поверхню з малим відблиском і допомагає маскувати положення стрільця.</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Кільце регулювання підсвічування з фіксацією має 11 рівнів яскравості з проміжним положенням вимкнення між рівнями.</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Протиударна конструкція витримує віддачу зброї під час пострілу та удар під час падіння.</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 Заповнення аргоном запобігає внутрішньому запотіванню лінз.</w:t>
      </w:r>
    </w:p>
    <w:p w:rsidR="00616BE1" w:rsidRPr="009A3170" w:rsidRDefault="00616BE1" w:rsidP="00616BE1">
      <w:pPr>
        <w:spacing w:after="0" w:line="240" w:lineRule="auto"/>
        <w:rPr>
          <w:rFonts w:ascii="Times New Roman" w:eastAsia="Calibri" w:hAnsi="Times New Roman" w:cs="Times New Roman"/>
          <w:kern w:val="2"/>
          <w:sz w:val="24"/>
          <w:szCs w:val="24"/>
          <w:lang w:val="uk-UA"/>
          <w14:ligatures w14:val="standardContextual"/>
        </w:rPr>
      </w:pPr>
      <w:r w:rsidRPr="009A3170">
        <w:rPr>
          <w:rFonts w:ascii="Times New Roman" w:eastAsia="Calibri" w:hAnsi="Times New Roman" w:cs="Times New Roman"/>
          <w:kern w:val="2"/>
          <w:sz w:val="24"/>
          <w:szCs w:val="24"/>
          <w:lang w:val="uk-UA"/>
          <w14:ligatures w14:val="standardContextual"/>
        </w:rPr>
        <w:t>Розроблений в США, виготовлений в Японія.</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Категорія:</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Оптика та комплектуючі</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Підкатегорія:</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Оптичні приціли</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Артикул:</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RZR-63602</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Гарантія:</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24 місяці</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Виробник:</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 xml:space="preserve">Vortex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Модель:</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Razor HD Gen IIІ</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Оптичні прилади:</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Оптичні приціли</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Діаметр об'єктиву, мм:</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 xml:space="preserve">56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Поле зору на 100 м:</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6,9 - 1,18 м</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Ціна поправки (1 кліка) на 100 м:</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1/10 MRAD</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Запас поправок на 100 м (верт./гор.):</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36.1/15.5 MIL</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Тип прицільної сітки:</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EBR-7D</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Підсвічування прицільної сітки:</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 xml:space="preserve">Є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Віддалення вихідної зіниці, мм:</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 xml:space="preserve">89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Країна виробник:</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Японія</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Країна походження:</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США</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Маса:</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 xml:space="preserve">1278 р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Фокальна площина:</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 xml:space="preserve">Перша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Кратність (збільшення), Min - Max:</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6 - 36</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Діаметр кілець/Посадкове місце:</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34 мм</w:t>
      </w:r>
      <w:r w:rsidRPr="009A3170">
        <w:rPr>
          <w:rFonts w:ascii="Times New Roman" w:eastAsia="Calibri" w:hAnsi="Times New Roman" w:cs="Times New Roman"/>
          <w:b/>
          <w:bCs/>
          <w:i/>
          <w:iCs/>
          <w:kern w:val="2"/>
          <w:sz w:val="24"/>
          <w:szCs w:val="24"/>
          <w:lang w:val="uk-UA"/>
          <w14:ligatures w14:val="standardContextual"/>
        </w:rPr>
        <w:t xml:space="preserve"> </w:t>
      </w:r>
    </w:p>
    <w:p w:rsidR="00616BE1" w:rsidRPr="009A3170" w:rsidRDefault="00616BE1" w:rsidP="00616BE1">
      <w:pPr>
        <w:spacing w:after="0" w:line="240" w:lineRule="auto"/>
        <w:rPr>
          <w:rFonts w:ascii="Times New Roman" w:eastAsia="Calibri" w:hAnsi="Times New Roman" w:cs="Times New Roman"/>
          <w:i/>
          <w:iCs/>
          <w:kern w:val="2"/>
          <w:sz w:val="24"/>
          <w:szCs w:val="24"/>
          <w:lang w:val="uk-UA"/>
          <w14:ligatures w14:val="standardContextual"/>
        </w:rPr>
      </w:pPr>
      <w:r w:rsidRPr="009A3170">
        <w:rPr>
          <w:rFonts w:ascii="Times New Roman" w:eastAsia="Calibri" w:hAnsi="Times New Roman" w:cs="Times New Roman"/>
          <w:b/>
          <w:bCs/>
          <w:i/>
          <w:iCs/>
          <w:kern w:val="2"/>
          <w:sz w:val="24"/>
          <w:szCs w:val="24"/>
          <w:lang w:val="uk-UA"/>
          <w14:ligatures w14:val="standardContextual"/>
        </w:rPr>
        <w:t>Елемент живлення:</w:t>
      </w:r>
      <w:r w:rsidRPr="009A3170">
        <w:rPr>
          <w:rFonts w:ascii="Times New Roman" w:eastAsia="Calibri" w:hAnsi="Times New Roman" w:cs="Times New Roman"/>
          <w:b/>
          <w:bCs/>
          <w:i/>
          <w:iCs/>
          <w:kern w:val="2"/>
          <w:sz w:val="24"/>
          <w:szCs w:val="24"/>
          <w:lang w:val="uk-UA"/>
          <w14:ligatures w14:val="standardContextual"/>
        </w:rPr>
        <w:tab/>
      </w:r>
      <w:r w:rsidRPr="009A3170">
        <w:rPr>
          <w:rFonts w:ascii="Times New Roman" w:eastAsia="Calibri" w:hAnsi="Times New Roman" w:cs="Times New Roman"/>
          <w:i/>
          <w:iCs/>
          <w:kern w:val="2"/>
          <w:sz w:val="24"/>
          <w:szCs w:val="24"/>
          <w:lang w:val="uk-UA"/>
          <w14:ligatures w14:val="standardContextual"/>
        </w:rPr>
        <w:t>CR2032</w:t>
      </w:r>
    </w:p>
    <w:p w:rsidR="00616BE1" w:rsidRPr="009A3170" w:rsidRDefault="00616BE1" w:rsidP="00616BE1">
      <w:pPr>
        <w:spacing w:after="0" w:line="240" w:lineRule="auto"/>
        <w:rPr>
          <w:rFonts w:ascii="Times New Roman" w:eastAsia="Calibri" w:hAnsi="Times New Roman" w:cs="Times New Roman"/>
          <w:i/>
          <w:iCs/>
          <w:kern w:val="2"/>
          <w:sz w:val="24"/>
          <w:szCs w:val="24"/>
          <w:lang w:val="uk-UA"/>
          <w14:ligatures w14:val="standardContextual"/>
        </w:rPr>
      </w:pPr>
    </w:p>
    <w:p w:rsidR="00616BE1" w:rsidRPr="009A3170" w:rsidRDefault="00616BE1" w:rsidP="00616BE1">
      <w:pPr>
        <w:spacing w:after="0" w:line="240" w:lineRule="auto"/>
        <w:rPr>
          <w:rFonts w:ascii="Times New Roman" w:eastAsia="Calibri" w:hAnsi="Times New Roman" w:cs="Times New Roman"/>
          <w:b/>
          <w:bCs/>
          <w:i/>
          <w:iCs/>
          <w:kern w:val="2"/>
          <w:sz w:val="24"/>
          <w:szCs w:val="24"/>
          <w:lang w:val="uk-UA"/>
          <w14:ligatures w14:val="standardContextual"/>
        </w:rPr>
      </w:pPr>
    </w:p>
    <w:p w:rsidR="00616BE1" w:rsidRPr="009A3170" w:rsidRDefault="00616BE1" w:rsidP="00616BE1">
      <w:pPr>
        <w:spacing w:after="0" w:line="240" w:lineRule="auto"/>
        <w:ind w:firstLine="360"/>
        <w:jc w:val="both"/>
        <w:rPr>
          <w:rFonts w:ascii="Times New Roman" w:eastAsia="Calibri" w:hAnsi="Times New Roman" w:cs="Times New Roman"/>
          <w:bCs/>
          <w:iCs/>
          <w:kern w:val="2"/>
          <w:sz w:val="24"/>
          <w:szCs w:val="24"/>
          <w:lang w:val="uk-UA"/>
          <w14:ligatures w14:val="standardContextual"/>
        </w:rPr>
      </w:pPr>
      <w:r w:rsidRPr="009A3170">
        <w:rPr>
          <w:rFonts w:ascii="Times New Roman" w:eastAsia="Calibri" w:hAnsi="Times New Roman" w:cs="Times New Roman"/>
          <w:bCs/>
          <w:iCs/>
          <w:kern w:val="2"/>
          <w:sz w:val="24"/>
          <w:szCs w:val="24"/>
          <w:lang w:val="uk-UA"/>
          <w14:ligatures w14:val="standardContextual"/>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rsidR="00616BE1" w:rsidRPr="009A3170" w:rsidRDefault="00616BE1" w:rsidP="00616BE1">
      <w:pPr>
        <w:pStyle w:val="a3"/>
        <w:numPr>
          <w:ilvl w:val="0"/>
          <w:numId w:val="1"/>
        </w:numPr>
        <w:spacing w:after="0" w:line="240" w:lineRule="auto"/>
        <w:jc w:val="both"/>
        <w:rPr>
          <w:rFonts w:ascii="Times New Roman" w:eastAsia="Calibri" w:hAnsi="Times New Roman" w:cs="Times New Roman"/>
          <w:bCs/>
          <w:iCs/>
          <w:kern w:val="2"/>
          <w:sz w:val="24"/>
          <w:szCs w:val="24"/>
          <w:lang w:val="uk-UA"/>
          <w14:ligatures w14:val="standardContextual"/>
        </w:rPr>
      </w:pPr>
      <w:r w:rsidRPr="009A3170">
        <w:rPr>
          <w:rFonts w:ascii="Times New Roman" w:eastAsia="Calibri" w:hAnsi="Times New Roman" w:cs="Times New Roman"/>
          <w:bCs/>
          <w:iCs/>
          <w:kern w:val="2"/>
          <w:sz w:val="24"/>
          <w:szCs w:val="24"/>
          <w:lang w:val="uk-UA"/>
          <w14:ligatures w14:val="standardContextual"/>
        </w:rPr>
        <w:t xml:space="preserve">Чинний на момент подання тендерної пропозиції, виданий на ім’я Учасника цих торгів, сертифікат на систему управління якістю, який підтверджує відповідність вимогам ДСТУ </w:t>
      </w:r>
      <w:r w:rsidRPr="009A3170">
        <w:rPr>
          <w:rFonts w:ascii="Times New Roman" w:eastAsia="Calibri" w:hAnsi="Times New Roman" w:cs="Times New Roman"/>
          <w:bCs/>
          <w:iCs/>
          <w:kern w:val="2"/>
          <w:sz w:val="24"/>
          <w:szCs w:val="24"/>
          <w14:ligatures w14:val="standardContextual"/>
        </w:rPr>
        <w:t>EN</w:t>
      </w:r>
      <w:r w:rsidRPr="009A3170">
        <w:rPr>
          <w:rFonts w:ascii="Times New Roman" w:eastAsia="Calibri" w:hAnsi="Times New Roman" w:cs="Times New Roman"/>
          <w:bCs/>
          <w:iCs/>
          <w:kern w:val="2"/>
          <w:sz w:val="24"/>
          <w:szCs w:val="24"/>
          <w:lang w:val="uk-UA"/>
          <w14:ligatures w14:val="standardContextual"/>
        </w:rPr>
        <w:t xml:space="preserve"> </w:t>
      </w:r>
      <w:r w:rsidRPr="009A3170">
        <w:rPr>
          <w:rFonts w:ascii="Times New Roman" w:eastAsia="Calibri" w:hAnsi="Times New Roman" w:cs="Times New Roman"/>
          <w:bCs/>
          <w:iCs/>
          <w:kern w:val="2"/>
          <w:sz w:val="24"/>
          <w:szCs w:val="24"/>
          <w14:ligatures w14:val="standardContextual"/>
        </w:rPr>
        <w:t>ISO</w:t>
      </w:r>
      <w:r w:rsidRPr="009A3170">
        <w:rPr>
          <w:rFonts w:ascii="Times New Roman" w:eastAsia="Calibri" w:hAnsi="Times New Roman" w:cs="Times New Roman"/>
          <w:bCs/>
          <w:iCs/>
          <w:kern w:val="2"/>
          <w:sz w:val="24"/>
          <w:szCs w:val="24"/>
          <w:lang w:val="uk-UA"/>
          <w14:ligatures w14:val="standardContextual"/>
        </w:rPr>
        <w:t xml:space="preserve"> 9001:2018.</w:t>
      </w:r>
    </w:p>
    <w:p w:rsidR="00616BE1" w:rsidRPr="009A3170" w:rsidRDefault="00616BE1" w:rsidP="00616BE1">
      <w:pPr>
        <w:pStyle w:val="a3"/>
        <w:numPr>
          <w:ilvl w:val="0"/>
          <w:numId w:val="1"/>
        </w:numPr>
        <w:spacing w:after="0" w:line="240" w:lineRule="auto"/>
        <w:jc w:val="both"/>
        <w:rPr>
          <w:rFonts w:ascii="Times New Roman" w:eastAsia="Calibri" w:hAnsi="Times New Roman" w:cs="Times New Roman"/>
          <w:bCs/>
          <w:iCs/>
          <w:kern w:val="2"/>
          <w:sz w:val="24"/>
          <w:szCs w:val="24"/>
          <w:lang w:val="uk-UA"/>
          <w14:ligatures w14:val="standardContextual"/>
        </w:rPr>
      </w:pPr>
      <w:r w:rsidRPr="009A3170">
        <w:rPr>
          <w:rFonts w:ascii="Times New Roman" w:eastAsia="Calibri" w:hAnsi="Times New Roman" w:cs="Times New Roman"/>
          <w:bCs/>
          <w:iCs/>
          <w:kern w:val="2"/>
          <w:sz w:val="24"/>
          <w:szCs w:val="24"/>
          <w:lang w:val="uk-UA"/>
          <w14:ligatures w14:val="standardContextual"/>
        </w:rPr>
        <w:t xml:space="preserve">Чинний на момент подання тендерної пропозиції, виданий на ім’я Учасника цих торгів, сертифікат на систему екологічного управління, що підтверджує відповідність вимогам ДСТУ </w:t>
      </w:r>
      <w:r w:rsidRPr="009A3170">
        <w:rPr>
          <w:rFonts w:ascii="Times New Roman" w:eastAsia="Calibri" w:hAnsi="Times New Roman" w:cs="Times New Roman"/>
          <w:bCs/>
          <w:iCs/>
          <w:kern w:val="2"/>
          <w:sz w:val="24"/>
          <w:szCs w:val="24"/>
          <w14:ligatures w14:val="standardContextual"/>
        </w:rPr>
        <w:t>ISO</w:t>
      </w:r>
      <w:r w:rsidRPr="009A3170">
        <w:rPr>
          <w:rFonts w:ascii="Times New Roman" w:eastAsia="Calibri" w:hAnsi="Times New Roman" w:cs="Times New Roman"/>
          <w:bCs/>
          <w:iCs/>
          <w:kern w:val="2"/>
          <w:sz w:val="24"/>
          <w:szCs w:val="24"/>
          <w:lang w:val="uk-UA"/>
          <w14:ligatures w14:val="standardContextual"/>
        </w:rPr>
        <w:t xml:space="preserve"> 14001:2015.</w:t>
      </w:r>
    </w:p>
    <w:p w:rsidR="00616BE1" w:rsidRPr="009A3170" w:rsidRDefault="00616BE1" w:rsidP="00616BE1">
      <w:pPr>
        <w:pStyle w:val="a3"/>
        <w:numPr>
          <w:ilvl w:val="0"/>
          <w:numId w:val="1"/>
        </w:numPr>
        <w:spacing w:after="0" w:line="240" w:lineRule="auto"/>
        <w:jc w:val="both"/>
        <w:rPr>
          <w:rFonts w:ascii="Times New Roman" w:eastAsia="Calibri" w:hAnsi="Times New Roman" w:cs="Times New Roman"/>
          <w:bCs/>
          <w:iCs/>
          <w:kern w:val="2"/>
          <w:sz w:val="24"/>
          <w:szCs w:val="24"/>
          <w:lang w:val="uk-UA"/>
          <w14:ligatures w14:val="standardContextual"/>
        </w:rPr>
      </w:pPr>
      <w:r w:rsidRPr="009A3170">
        <w:rPr>
          <w:rFonts w:ascii="Times New Roman" w:eastAsia="Calibri" w:hAnsi="Times New Roman" w:cs="Times New Roman"/>
          <w:bCs/>
          <w:iCs/>
          <w:kern w:val="2"/>
          <w:sz w:val="24"/>
          <w:szCs w:val="24"/>
          <w:lang w:val="uk-UA"/>
          <w14:ligatures w14:val="standardContextual"/>
        </w:rPr>
        <w:t xml:space="preserve">Чинний на момент подання тендерної пропозиції, виданий на ім’я Учасника цих торгів, сертифікат на систему управління охороною здоров’я та безпекою праці, що підтверджує відповідність вимогам ДСТУ </w:t>
      </w:r>
      <w:r w:rsidRPr="009A3170">
        <w:rPr>
          <w:rFonts w:ascii="Times New Roman" w:eastAsia="Calibri" w:hAnsi="Times New Roman" w:cs="Times New Roman"/>
          <w:bCs/>
          <w:iCs/>
          <w:kern w:val="2"/>
          <w:sz w:val="24"/>
          <w:szCs w:val="24"/>
          <w14:ligatures w14:val="standardContextual"/>
        </w:rPr>
        <w:t>ISO</w:t>
      </w:r>
      <w:r w:rsidRPr="009A3170">
        <w:rPr>
          <w:rFonts w:ascii="Times New Roman" w:eastAsia="Calibri" w:hAnsi="Times New Roman" w:cs="Times New Roman"/>
          <w:bCs/>
          <w:iCs/>
          <w:kern w:val="2"/>
          <w:sz w:val="24"/>
          <w:szCs w:val="24"/>
          <w:lang w:val="uk-UA"/>
          <w14:ligatures w14:val="standardContextual"/>
        </w:rPr>
        <w:t xml:space="preserve"> 45001:2019.</w:t>
      </w:r>
    </w:p>
    <w:p w:rsidR="00616BE1" w:rsidRPr="009A3170" w:rsidRDefault="00616BE1" w:rsidP="00616BE1">
      <w:pPr>
        <w:pStyle w:val="a3"/>
        <w:numPr>
          <w:ilvl w:val="0"/>
          <w:numId w:val="1"/>
        </w:numPr>
        <w:spacing w:after="0" w:line="240" w:lineRule="auto"/>
        <w:jc w:val="both"/>
        <w:rPr>
          <w:rFonts w:ascii="Times New Roman" w:eastAsia="Calibri" w:hAnsi="Times New Roman" w:cs="Times New Roman"/>
          <w:bCs/>
          <w:iCs/>
          <w:kern w:val="2"/>
          <w:sz w:val="24"/>
          <w:szCs w:val="24"/>
          <w:lang w:val="uk-UA"/>
          <w14:ligatures w14:val="standardContextual"/>
        </w:rPr>
      </w:pPr>
      <w:r w:rsidRPr="009A3170">
        <w:rPr>
          <w:rFonts w:ascii="Times New Roman" w:eastAsia="Calibri" w:hAnsi="Times New Roman" w:cs="Times New Roman"/>
          <w:bCs/>
          <w:iCs/>
          <w:kern w:val="2"/>
          <w:sz w:val="24"/>
          <w:szCs w:val="24"/>
          <w:lang w:val="uk-UA"/>
          <w14:ligatures w14:val="standardContextual"/>
        </w:rPr>
        <w:t>Чинний на момент подання тендерної пропозиції, виданий на ім’я Учасника цих торгів, сертифікат на систему управління інформаційною безпекою, що підтверджує відповідність вимогам ДСТУ ISO/</w:t>
      </w:r>
      <w:r w:rsidRPr="009A3170">
        <w:rPr>
          <w:rFonts w:ascii="Times New Roman" w:eastAsia="Calibri" w:hAnsi="Times New Roman" w:cs="Times New Roman"/>
          <w:bCs/>
          <w:iCs/>
          <w:kern w:val="2"/>
          <w:sz w:val="24"/>
          <w:szCs w:val="24"/>
          <w14:ligatures w14:val="standardContextual"/>
        </w:rPr>
        <w:t>IEC</w:t>
      </w:r>
      <w:r w:rsidRPr="009A3170">
        <w:rPr>
          <w:rFonts w:ascii="Times New Roman" w:eastAsia="Calibri" w:hAnsi="Times New Roman" w:cs="Times New Roman"/>
          <w:bCs/>
          <w:iCs/>
          <w:kern w:val="2"/>
          <w:sz w:val="24"/>
          <w:szCs w:val="24"/>
          <w:lang w:val="uk-UA"/>
          <w14:ligatures w14:val="standardContextual"/>
        </w:rPr>
        <w:t xml:space="preserve"> 27001:2023.</w:t>
      </w:r>
    </w:p>
    <w:p w:rsidR="00616BE1" w:rsidRPr="009A3170" w:rsidRDefault="00616BE1" w:rsidP="00616BE1">
      <w:pPr>
        <w:pStyle w:val="a3"/>
        <w:numPr>
          <w:ilvl w:val="0"/>
          <w:numId w:val="1"/>
        </w:numPr>
        <w:spacing w:after="0" w:line="240" w:lineRule="auto"/>
        <w:jc w:val="both"/>
        <w:rPr>
          <w:rFonts w:ascii="Times New Roman" w:eastAsia="Calibri" w:hAnsi="Times New Roman" w:cs="Times New Roman"/>
          <w:bCs/>
          <w:iCs/>
          <w:kern w:val="2"/>
          <w:sz w:val="24"/>
          <w:szCs w:val="24"/>
          <w:lang w:val="uk-UA"/>
          <w14:ligatures w14:val="standardContextual"/>
        </w:rPr>
      </w:pPr>
      <w:r w:rsidRPr="009A3170">
        <w:rPr>
          <w:rFonts w:ascii="Times New Roman" w:eastAsia="Calibri" w:hAnsi="Times New Roman" w:cs="Times New Roman"/>
          <w:bCs/>
          <w:iCs/>
          <w:kern w:val="2"/>
          <w:sz w:val="24"/>
          <w:szCs w:val="24"/>
          <w:lang w:val="uk-UA"/>
          <w14:ligatures w14:val="standardContextual"/>
        </w:rPr>
        <w:t>На підтвердження якості прицілу оптичного Vortex Razor HD Gen IIІ 6-36x56 F1 з сіткою EBR-7D з підсвічуванням (або еквівалент) надати сертифікат якості</w:t>
      </w:r>
      <w:r w:rsidR="00202494">
        <w:rPr>
          <w:rFonts w:ascii="Times New Roman" w:eastAsia="Calibri" w:hAnsi="Times New Roman" w:cs="Times New Roman"/>
          <w:bCs/>
          <w:iCs/>
          <w:kern w:val="2"/>
          <w:sz w:val="24"/>
          <w:szCs w:val="24"/>
          <w:lang w:val="uk-UA"/>
          <w14:ligatures w14:val="standardContextual"/>
        </w:rPr>
        <w:t>/відповідності</w:t>
      </w:r>
      <w:bookmarkStart w:id="0" w:name="_GoBack"/>
      <w:bookmarkEnd w:id="0"/>
      <w:r w:rsidRPr="009A3170">
        <w:rPr>
          <w:rFonts w:ascii="Times New Roman" w:eastAsia="Calibri" w:hAnsi="Times New Roman" w:cs="Times New Roman"/>
          <w:bCs/>
          <w:iCs/>
          <w:kern w:val="2"/>
          <w:sz w:val="24"/>
          <w:szCs w:val="24"/>
          <w:lang w:val="uk-UA"/>
          <w14:ligatures w14:val="standardContextual"/>
        </w:rPr>
        <w:t xml:space="preserve"> та технічний паспорт виробу.</w:t>
      </w:r>
    </w:p>
    <w:p w:rsidR="00616BE1" w:rsidRPr="009A3170" w:rsidRDefault="00616BE1" w:rsidP="00616BE1">
      <w:pPr>
        <w:spacing w:after="0" w:line="240" w:lineRule="auto"/>
        <w:rPr>
          <w:rFonts w:ascii="Times New Roman" w:eastAsia="Calibri" w:hAnsi="Times New Roman" w:cs="Times New Roman"/>
          <w:bCs/>
          <w:iCs/>
          <w:kern w:val="2"/>
          <w:sz w:val="24"/>
          <w:szCs w:val="24"/>
          <w:lang w:val="uk-UA"/>
          <w14:ligatures w14:val="standardContextual"/>
        </w:rPr>
      </w:pPr>
    </w:p>
    <w:p w:rsidR="00616BE1" w:rsidRPr="00580BD8" w:rsidRDefault="00616BE1" w:rsidP="00616BE1">
      <w:pPr>
        <w:spacing w:after="0" w:line="240" w:lineRule="auto"/>
        <w:jc w:val="center"/>
        <w:rPr>
          <w:rFonts w:ascii="Times New Roman" w:hAnsi="Times New Roman" w:cs="Times New Roman"/>
          <w:b/>
          <w:sz w:val="24"/>
          <w:szCs w:val="24"/>
          <w:lang w:val="uk-UA"/>
        </w:rPr>
      </w:pPr>
      <w:r w:rsidRPr="009A3170">
        <w:rPr>
          <w:rFonts w:ascii="Times New Roman" w:hAnsi="Times New Roman" w:cs="Times New Roman"/>
          <w:b/>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580BD8" w:rsidRPr="00580BD8" w:rsidRDefault="00580BD8" w:rsidP="00580BD8">
      <w:pPr>
        <w:spacing w:after="0" w:line="240" w:lineRule="auto"/>
        <w:jc w:val="center"/>
        <w:rPr>
          <w:rFonts w:ascii="Times New Roman" w:hAnsi="Times New Roman" w:cs="Times New Roman"/>
          <w:b/>
          <w:sz w:val="24"/>
          <w:szCs w:val="24"/>
          <w:lang w:val="uk-UA"/>
        </w:rPr>
      </w:pPr>
    </w:p>
    <w:sectPr w:rsidR="00580BD8" w:rsidRPr="0058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32C1E"/>
    <w:multiLevelType w:val="hybridMultilevel"/>
    <w:tmpl w:val="AC94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42"/>
    <w:rsid w:val="00053109"/>
    <w:rsid w:val="00202494"/>
    <w:rsid w:val="00244701"/>
    <w:rsid w:val="002E28E8"/>
    <w:rsid w:val="00471642"/>
    <w:rsid w:val="00562CF2"/>
    <w:rsid w:val="00580BD8"/>
    <w:rsid w:val="00616BE1"/>
    <w:rsid w:val="007437AB"/>
    <w:rsid w:val="00AF1E44"/>
    <w:rsid w:val="00E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E8B1"/>
  <w15:chartTrackingRefBased/>
  <w15:docId w15:val="{6ABEE72B-AE1D-40E1-BD15-0F9CAD07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2343</Words>
  <Characters>1336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2024-02-12T14:18:00Z</dcterms:created>
  <dcterms:modified xsi:type="dcterms:W3CDTF">2024-03-13T13:03:00Z</dcterms:modified>
</cp:coreProperties>
</file>