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F60"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rsidR="00DC2F60"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rsidR="00DC2F60"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rsidR="00DC2F60" w:rsidRDefault="00000000">
      <w:pPr>
        <w:spacing w:after="0" w:line="240" w:lineRule="auto"/>
        <w:ind w:left="595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від 31</w:t>
      </w:r>
      <w:r>
        <w:rPr>
          <w:rFonts w:ascii="Times New Roman" w:eastAsia="Times New Roman" w:hAnsi="Times New Roman" w:cs="Times New Roman"/>
          <w:color w:val="000000"/>
          <w:sz w:val="24"/>
          <w:szCs w:val="24"/>
        </w:rPr>
        <w:t xml:space="preserve">.03.2023 № </w:t>
      </w:r>
      <w:r>
        <w:rPr>
          <w:rFonts w:ascii="Times New Roman" w:eastAsia="Times New Roman" w:hAnsi="Times New Roman" w:cs="Times New Roman"/>
          <w:sz w:val="24"/>
          <w:szCs w:val="24"/>
        </w:rPr>
        <w:t>3</w:t>
      </w:r>
    </w:p>
    <w:p w:rsidR="00DC2F60" w:rsidRDefault="00DC2F60">
      <w:pPr>
        <w:spacing w:after="0" w:line="240" w:lineRule="auto"/>
        <w:ind w:left="5952"/>
        <w:rPr>
          <w:rFonts w:ascii="Times New Roman" w:eastAsia="Times New Roman" w:hAnsi="Times New Roman" w:cs="Times New Roman"/>
          <w:sz w:val="24"/>
          <w:szCs w:val="24"/>
        </w:rPr>
      </w:pPr>
    </w:p>
    <w:p w:rsidR="00DC2F60"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 </w:t>
      </w:r>
      <w:r w:rsidR="00190F40">
        <w:rPr>
          <w:rFonts w:ascii="Times New Roman" w:eastAsia="Times New Roman" w:hAnsi="Times New Roman" w:cs="Times New Roman"/>
          <w:sz w:val="24"/>
          <w:szCs w:val="24"/>
        </w:rPr>
        <w:t>О.Г.КРАВЧЕНКО</w:t>
      </w:r>
    </w:p>
    <w:p w:rsidR="00DC2F60" w:rsidRDefault="00DC2F60">
      <w:pPr>
        <w:spacing w:after="0" w:line="240" w:lineRule="auto"/>
        <w:jc w:val="both"/>
        <w:rPr>
          <w:rFonts w:ascii="Times New Roman" w:eastAsia="Times New Roman" w:hAnsi="Times New Roman" w:cs="Times New Roman"/>
          <w:sz w:val="24"/>
          <w:szCs w:val="24"/>
        </w:rPr>
      </w:pPr>
    </w:p>
    <w:p w:rsidR="00DC2F60"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ТЕНДЕРНА ДОКУМЕНТАЦІЯ</w:t>
      </w:r>
    </w:p>
    <w:p w:rsidR="00DC2F60"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rsidR="00DC2F60" w:rsidRDefault="00000000">
      <w:pPr>
        <w:spacing w:before="240"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rsidR="00DC2F60" w:rsidRDefault="00DC2F60">
      <w:pPr>
        <w:spacing w:after="0" w:line="240" w:lineRule="auto"/>
        <w:jc w:val="center"/>
        <w:rPr>
          <w:rFonts w:ascii="Times New Roman" w:eastAsia="Times New Roman" w:hAnsi="Times New Roman" w:cs="Times New Roman"/>
          <w:b/>
          <w:sz w:val="28"/>
          <w:szCs w:val="28"/>
        </w:rPr>
      </w:pPr>
    </w:p>
    <w:p w:rsidR="00DC2F60" w:rsidRDefault="0000000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провулок Володимира Усенка, 25-А, місто Харків</w:t>
      </w:r>
    </w:p>
    <w:p w:rsidR="00DC2F60" w:rsidRDefault="00000000">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4"/>
          <w:szCs w:val="24"/>
        </w:rPr>
        <w:t>(код ДК 021:2015 - 45260000-7 Покрівельні роботи та інші спеціалізовані будівельні роботи)”</w:t>
      </w:r>
    </w:p>
    <w:p w:rsidR="00DC2F60"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C2F60" w:rsidRDefault="00DC2F60">
      <w:pPr>
        <w:spacing w:after="240" w:line="240" w:lineRule="auto"/>
        <w:rPr>
          <w:rFonts w:ascii="Times New Roman" w:eastAsia="Times New Roman" w:hAnsi="Times New Roman" w:cs="Times New Roman"/>
          <w:sz w:val="24"/>
          <w:szCs w:val="24"/>
        </w:rPr>
      </w:pPr>
    </w:p>
    <w:p w:rsidR="00DC2F60" w:rsidRDefault="00DC2F60">
      <w:pPr>
        <w:spacing w:after="240" w:line="240" w:lineRule="auto"/>
        <w:rPr>
          <w:rFonts w:ascii="Times New Roman" w:eastAsia="Times New Roman" w:hAnsi="Times New Roman" w:cs="Times New Roman"/>
          <w:sz w:val="24"/>
          <w:szCs w:val="24"/>
        </w:rPr>
      </w:pPr>
    </w:p>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rsidR="00DC2F60" w:rsidRDefault="00000000">
      <w:pPr>
        <w:rPr>
          <w:rFonts w:ascii="Times New Roman" w:eastAsia="Times New Roman" w:hAnsi="Times New Roman" w:cs="Times New Roman"/>
          <w:sz w:val="24"/>
          <w:szCs w:val="24"/>
        </w:rPr>
      </w:pPr>
      <w:r>
        <w:br w:type="page"/>
      </w:r>
    </w:p>
    <w:tbl>
      <w:tblPr>
        <w:tblStyle w:val="affb"/>
        <w:tblW w:w="9912" w:type="dxa"/>
        <w:tblInd w:w="0" w:type="dxa"/>
        <w:tblLayout w:type="fixed"/>
        <w:tblLook w:val="0400" w:firstRow="0" w:lastRow="0" w:firstColumn="0" w:lastColumn="0" w:noHBand="0" w:noVBand="1"/>
      </w:tblPr>
      <w:tblGrid>
        <w:gridCol w:w="396"/>
        <w:gridCol w:w="3508"/>
        <w:gridCol w:w="6008"/>
      </w:tblGrid>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516"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DC2F60">
        <w:trPr>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DC2F60">
            <w:pPr>
              <w:spacing w:after="0" w:line="240" w:lineRule="auto"/>
              <w:rPr>
                <w:rFonts w:ascii="Times New Roman" w:eastAsia="Times New Roman" w:hAnsi="Times New Roman" w:cs="Times New Roman"/>
                <w:sz w:val="24"/>
                <w:szCs w:val="24"/>
              </w:rPr>
            </w:pP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9D2F2D">
            <w:pPr>
              <w:spacing w:before="150" w:after="150" w:line="240" w:lineRule="auto"/>
              <w:rPr>
                <w:rFonts w:ascii="Times New Roman" w:eastAsia="Times New Roman" w:hAnsi="Times New Roman" w:cs="Times New Roman"/>
                <w:sz w:val="24"/>
                <w:szCs w:val="24"/>
              </w:rPr>
            </w:pPr>
            <w:r w:rsidRPr="009D2F2D">
              <w:rPr>
                <w:rFonts w:ascii="Times New Roman" w:eastAsia="Times New Roman" w:hAnsi="Times New Roman" w:cs="Times New Roman"/>
                <w:sz w:val="24"/>
                <w:szCs w:val="24"/>
              </w:rPr>
              <w:t xml:space="preserve">Кравченко Олег Григорович - начальник відділу координації </w:t>
            </w:r>
            <w:proofErr w:type="spellStart"/>
            <w:r w:rsidRPr="009D2F2D">
              <w:rPr>
                <w:rFonts w:ascii="Times New Roman" w:eastAsia="Times New Roman" w:hAnsi="Times New Roman" w:cs="Times New Roman"/>
                <w:sz w:val="24"/>
                <w:szCs w:val="24"/>
              </w:rPr>
              <w:t>закупівель</w:t>
            </w:r>
            <w:proofErr w:type="spellEnd"/>
            <w:r w:rsidRPr="009D2F2D">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dgkh.hmr@gmail.com</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DC2F60">
            <w:pPr>
              <w:spacing w:after="0" w:line="240" w:lineRule="auto"/>
              <w:rPr>
                <w:rFonts w:ascii="Times New Roman" w:eastAsia="Times New Roman" w:hAnsi="Times New Roman" w:cs="Times New Roman"/>
                <w:sz w:val="24"/>
                <w:szCs w:val="24"/>
              </w:rPr>
            </w:pP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провулок Володимира Усенка, 25-А, місто Харків (код ДК 021:2015 - 45260000-7 Покрівельні роботи та інші спеціалізовані будівельні роботи)</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 провулок Володимира Усенка, 25-А</w:t>
            </w:r>
          </w:p>
          <w:p w:rsidR="00DC2F60"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 надання послуг: 1 послуга.</w:t>
            </w:r>
          </w:p>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31.12.2023</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окрім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документи тендерної пропозиції, які готуються безпосередньо учасником повинні бути складені українською мовою.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учасник торгів не є резидентом України, він може подавати свою тендерну пропозицію іншою мовою з обов’язковим перекладом українською мовою</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C2F60" w:rsidRDefault="00DC2F60">
            <w:pPr>
              <w:spacing w:before="150" w:after="150" w:line="240" w:lineRule="auto"/>
              <w:jc w:val="both"/>
              <w:rPr>
                <w:rFonts w:ascii="Times New Roman" w:eastAsia="Times New Roman" w:hAnsi="Times New Roman" w:cs="Times New Roman"/>
                <w:sz w:val="24"/>
                <w:szCs w:val="24"/>
              </w:rPr>
            </w:pPr>
          </w:p>
        </w:tc>
      </w:tr>
      <w:tr w:rsidR="00DC2F60">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w:t>
            </w:r>
            <w:r>
              <w:rPr>
                <w:rFonts w:ascii="Times New Roman" w:eastAsia="Times New Roman" w:hAnsi="Times New Roman" w:cs="Times New Roman"/>
                <w:color w:val="000000"/>
                <w:sz w:val="24"/>
                <w:szCs w:val="24"/>
              </w:rPr>
              <w:lastRenderedPageBreak/>
              <w:t xml:space="preserve">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DC2F60">
        <w:trPr>
          <w:trHeight w:val="335"/>
        </w:trPr>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пунктом 44 </w:t>
            </w:r>
            <w:r>
              <w:rPr>
                <w:rFonts w:ascii="Times New Roman" w:eastAsia="Times New Roman" w:hAnsi="Times New Roman" w:cs="Times New Roman"/>
                <w:color w:val="000000"/>
                <w:sz w:val="24"/>
                <w:szCs w:val="24"/>
              </w:rPr>
              <w:lastRenderedPageBreak/>
              <w:t>Особливостей і в тендерній документації, та шляхом завантаження:</w:t>
            </w:r>
          </w:p>
          <w:p w:rsidR="00DC2F60" w:rsidRDefault="00000000">
            <w:pPr>
              <w:numPr>
                <w:ilvl w:val="0"/>
                <w:numId w:val="4"/>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DC2F6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44 Особливостей у відповідності до вимог визначених у Додатку № 2 до тендерної документації;</w:t>
            </w:r>
          </w:p>
          <w:p w:rsidR="00DC2F60" w:rsidRDefault="0000000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rsidR="00DC2F60"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DC2F60"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учасника;</w:t>
            </w:r>
          </w:p>
          <w:p w:rsidR="00DC2F60"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оригінал або копія Статуту із змінами (в разі їх наявності) або іншого установчого документу;</w:t>
            </w:r>
          </w:p>
          <w:p w:rsidR="00DC2F60"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чи копія свідоцтва про державну реєстрацію або оригінал чи копія виписки з Єдиного державного реєстру осіб та фізичних осіб-підприємців;</w:t>
            </w:r>
          </w:p>
          <w:p w:rsidR="00DC2F60" w:rsidRDefault="00000000">
            <w:pPr>
              <w:numPr>
                <w:ilvl w:val="0"/>
                <w:numId w:val="4"/>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w:t>
            </w:r>
            <w:r>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DC2F60" w:rsidRDefault="00000000">
            <w:pPr>
              <w:numPr>
                <w:ilvl w:val="0"/>
                <w:numId w:val="6"/>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rsidR="00DC2F60"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rsidR="00DC2F60"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DC2F60"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DC2F60"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DC2F60"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rsidR="00DC2F60" w:rsidRDefault="00000000">
            <w:pPr>
              <w:numPr>
                <w:ilvl w:val="0"/>
                <w:numId w:val="6"/>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w:t>
            </w:r>
            <w:r>
              <w:rPr>
                <w:rFonts w:ascii="Times New Roman" w:eastAsia="Times New Roman" w:hAnsi="Times New Roman" w:cs="Times New Roman"/>
                <w:color w:val="000000"/>
                <w:sz w:val="24"/>
                <w:szCs w:val="24"/>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2F60"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Приклади  формальних (несуттєвих) помилок, допущення яких учасниками не призведе до відхилення їх тендерних пропозицій:</w:t>
            </w:r>
          </w:p>
          <w:p w:rsidR="00DC2F60" w:rsidRDefault="00000000">
            <w:pPr>
              <w:numPr>
                <w:ilvl w:val="0"/>
                <w:numId w:val="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rsidR="00DC2F60"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DC2F60"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C2F60"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DC2F60"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DC2F60"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DC2F60" w:rsidRDefault="00000000">
            <w:pPr>
              <w:numPr>
                <w:ilvl w:val="0"/>
                <w:numId w:val="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C2F60" w:rsidRDefault="00DC2F60">
            <w:pPr>
              <w:spacing w:before="150" w:after="150" w:line="240" w:lineRule="auto"/>
              <w:jc w:val="both"/>
              <w:rPr>
                <w:rFonts w:ascii="Times New Roman" w:eastAsia="Times New Roman" w:hAnsi="Times New Roman" w:cs="Times New Roman"/>
                <w:sz w:val="24"/>
                <w:szCs w:val="24"/>
              </w:rPr>
            </w:pP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DC2F60" w:rsidRDefault="00DC2F60">
            <w:pPr>
              <w:spacing w:before="150" w:after="150" w:line="240" w:lineRule="auto"/>
              <w:rPr>
                <w:rFonts w:ascii="Times New Roman" w:eastAsia="Times New Roman" w:hAnsi="Times New Roman" w:cs="Times New Roman"/>
                <w:sz w:val="24"/>
                <w:szCs w:val="24"/>
              </w:rPr>
            </w:pPr>
          </w:p>
        </w:tc>
      </w:tr>
      <w:tr w:rsidR="00DC2F60">
        <w:trPr>
          <w:trHeight w:val="5989"/>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C2F60" w:rsidRDefault="00000000">
            <w:pPr>
              <w:numPr>
                <w:ilvl w:val="0"/>
                <w:numId w:val="8"/>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відхилити таку вимогу, не в</w:t>
            </w:r>
            <w:r>
              <w:rPr>
                <w:rFonts w:ascii="Times New Roman" w:eastAsia="Times New Roman" w:hAnsi="Times New Roman" w:cs="Times New Roman"/>
                <w:sz w:val="24"/>
                <w:szCs w:val="24"/>
              </w:rPr>
              <w:t>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DC2F60" w:rsidRDefault="00000000">
            <w:pPr>
              <w:numPr>
                <w:ilvl w:val="0"/>
                <w:numId w:val="8"/>
              </w:numPr>
              <w:pBdr>
                <w:top w:val="nil"/>
                <w:left w:val="nil"/>
                <w:bottom w:val="nil"/>
                <w:right w:val="nil"/>
                <w:between w:val="nil"/>
              </w:pBdr>
              <w:spacing w:before="150" w:after="0" w:line="240" w:lineRule="auto"/>
              <w:ind w:left="566" w:hanging="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w:t>
            </w:r>
            <w:r>
              <w:rPr>
                <w:rFonts w:ascii="Times New Roman" w:eastAsia="Times New Roman" w:hAnsi="Times New Roman" w:cs="Times New Roman"/>
                <w:color w:val="000000"/>
                <w:sz w:val="24"/>
                <w:szCs w:val="24"/>
              </w:rPr>
              <w:t xml:space="preserve">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sz w:val="24"/>
                <w:szCs w:val="24"/>
              </w:rPr>
              <w:t>(</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r>
              <w:rPr>
                <w:rFonts w:ascii="Times New Roman" w:eastAsia="Times New Roman" w:hAnsi="Times New Roman" w:cs="Times New Roman"/>
                <w:color w:val="000000"/>
                <w:sz w:val="24"/>
                <w:szCs w:val="24"/>
              </w:rPr>
              <w:t>.</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44 Особливостей</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Кваліфікаційні критерії та інформація про спосіб їх підтвердження викладені у Додатку № 1 до тендерної документації.</w:t>
            </w:r>
          </w:p>
          <w:p w:rsidR="00DC2F60"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44 Особливостей. Спосіб підтвердження відсутності підстав для відхилення учасників викладений у Додатку № 2.</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0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C2F60">
        <w:trPr>
          <w:trHeight w:val="2022"/>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субпідрядника / співвиконавця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у складі тендерної пропозиції надає довідку із зазначенням інформації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якщо учасник не планує залучати до виконання робіт чи послуг як субпідрядника / співвиконавця в обсязі не менше 20 відсотків від вартості договору про закупівлю, така довідка не подається учасником.</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DC2F60" w:rsidRDefault="00DC2F60">
            <w:pPr>
              <w:spacing w:before="150" w:after="150" w:line="240" w:lineRule="auto"/>
              <w:jc w:val="both"/>
              <w:rPr>
                <w:rFonts w:ascii="Times New Roman" w:eastAsia="Times New Roman" w:hAnsi="Times New Roman" w:cs="Times New Roman"/>
                <w:sz w:val="24"/>
                <w:szCs w:val="24"/>
              </w:rPr>
            </w:pPr>
          </w:p>
        </w:tc>
      </w:tr>
      <w:tr w:rsidR="00DC2F60">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 10.04.2023 о 9:00.</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tc>
      </w:tr>
      <w:tr w:rsidR="00DC2F60">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rsidR="00DC2F60"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DC2F60"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DC2F60"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 xml:space="preserve"> Копія Статуту із змінами (в разі їх наявності) (для юридичних осіб) та д</w:t>
            </w:r>
            <w:r>
              <w:rPr>
                <w:rFonts w:ascii="Times New Roman" w:eastAsia="Times New Roman" w:hAnsi="Times New Roman" w:cs="Times New Roman"/>
                <w:color w:val="000000"/>
                <w:sz w:val="24"/>
                <w:szCs w:val="24"/>
              </w:rPr>
              <w:t xml:space="preserve">овідку, складену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w:t>
            </w:r>
            <w:r>
              <w:rPr>
                <w:rFonts w:ascii="Times New Roman" w:eastAsia="Times New Roman" w:hAnsi="Times New Roman" w:cs="Times New Roman"/>
                <w:color w:val="000000"/>
                <w:sz w:val="24"/>
                <w:szCs w:val="24"/>
              </w:rPr>
              <w:lastRenderedPageBreak/>
              <w:t xml:space="preserve">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w:t>
            </w:r>
            <w:r>
              <w:rPr>
                <w:rFonts w:ascii="Times New Roman" w:eastAsia="Times New Roman" w:hAnsi="Times New Roman" w:cs="Times New Roman"/>
                <w:sz w:val="24"/>
                <w:szCs w:val="24"/>
              </w:rPr>
              <w:t>підписання договору на суму наданої пропозиції.</w:t>
            </w:r>
          </w:p>
          <w:p w:rsidR="00DC2F60"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Для учасників фізичних осіб та/або фізичних осіб-підприємців:</w:t>
            </w:r>
          </w:p>
          <w:p w:rsidR="00DC2F60"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Сканована копія з оригіналу паспорта (у кольоровому вигляді сторінок паспорта, а саме: 1-6 та місце проживання),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Сканована копія картки фізичної особи — платника податків (або довідки про присвоєння ідентифікаційного номера фізичної особи — платника податків).</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DC2F60"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DC2F60"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DC2F60"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DC2F60"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DC2F60"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DC2F60"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DC2F60" w:rsidRDefault="00000000">
            <w:pPr>
              <w:numPr>
                <w:ilvl w:val="0"/>
                <w:numId w:val="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rsidR="00DC2F6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Pr>
                <w:rFonts w:ascii="Times New Roman" w:eastAsia="Times New Roman" w:hAnsi="Times New Roman" w:cs="Times New Roman"/>
                <w:color w:val="000000"/>
                <w:sz w:val="24"/>
                <w:szCs w:val="24"/>
              </w:rPr>
              <w:lastRenderedPageBreak/>
              <w:t xml:space="preserve">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2F6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C2F6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w:t>
            </w:r>
            <w:r>
              <w:rPr>
                <w:rFonts w:ascii="Times New Roman" w:eastAsia="Times New Roman" w:hAnsi="Times New Roman" w:cs="Times New Roman"/>
                <w:color w:val="000000"/>
                <w:sz w:val="24"/>
                <w:szCs w:val="24"/>
              </w:rPr>
              <w:lastRenderedPageBreak/>
              <w:t>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C2F6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2F6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C2F60"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C2F60"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2F60" w:rsidRDefault="00000000">
            <w:pPr>
              <w:numPr>
                <w:ilvl w:val="0"/>
                <w:numId w:val="1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2F60" w:rsidRDefault="00000000">
            <w:pPr>
              <w:numPr>
                <w:ilvl w:val="0"/>
                <w:numId w:val="1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C2F60"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rsidR="00DC2F60" w:rsidRDefault="00000000">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DC2F60"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DC2F60"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DC2F60"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C2F60"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DC2F60"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2F60" w:rsidRDefault="00DC2F60">
            <w:pPr>
              <w:spacing w:after="0" w:line="240" w:lineRule="auto"/>
              <w:rPr>
                <w:rFonts w:ascii="Times New Roman" w:eastAsia="Times New Roman" w:hAnsi="Times New Roman" w:cs="Times New Roman"/>
                <w:sz w:val="24"/>
                <w:szCs w:val="24"/>
              </w:rPr>
            </w:pP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rsidR="00DC2F60" w:rsidRDefault="00000000">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C2F60" w:rsidRDefault="00000000">
            <w:pPr>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rsidR="00DC2F60"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2F60" w:rsidRDefault="00000000">
            <w:pPr>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C2F60" w:rsidRDefault="00DC2F60">
            <w:pPr>
              <w:spacing w:after="0" w:line="240" w:lineRule="auto"/>
              <w:rPr>
                <w:rFonts w:ascii="Times New Roman" w:eastAsia="Times New Roman" w:hAnsi="Times New Roman" w:cs="Times New Roman"/>
                <w:sz w:val="24"/>
                <w:szCs w:val="24"/>
              </w:rPr>
            </w:pP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rsidR="00DC2F60"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DC2F60"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C2F60"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DC2F60" w:rsidRDefault="00000000">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C2F60"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DC2F60" w:rsidRDefault="00DC2F60">
            <w:pPr>
              <w:spacing w:after="0" w:line="240" w:lineRule="auto"/>
              <w:rPr>
                <w:rFonts w:ascii="Times New Roman" w:eastAsia="Times New Roman" w:hAnsi="Times New Roman" w:cs="Times New Roman"/>
                <w:sz w:val="24"/>
                <w:szCs w:val="24"/>
              </w:rPr>
            </w:pPr>
          </w:p>
          <w:p w:rsidR="00DC2F60"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2F60" w:rsidRDefault="00000000">
            <w:pPr>
              <w:numPr>
                <w:ilvl w:val="0"/>
                <w:numId w:val="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C2F60">
        <w:tc>
          <w:tcPr>
            <w:tcW w:w="9912"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DC2F60"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C2F60" w:rsidRDefault="00000000">
            <w:pPr>
              <w:numPr>
                <w:ilvl w:val="0"/>
                <w:numId w:val="18"/>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DC2F60" w:rsidRDefault="00000000">
            <w:pPr>
              <w:numPr>
                <w:ilvl w:val="0"/>
                <w:numId w:val="1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C2F60" w:rsidRDefault="00000000">
            <w:pPr>
              <w:numPr>
                <w:ilvl w:val="0"/>
                <w:numId w:val="18"/>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C2F60"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C2F60"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DC2F60"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w:t>
            </w:r>
            <w:r>
              <w:rPr>
                <w:rFonts w:ascii="Times New Roman" w:eastAsia="Times New Roman" w:hAnsi="Times New Roman" w:cs="Times New Roman"/>
                <w:sz w:val="24"/>
                <w:szCs w:val="24"/>
              </w:rPr>
              <w:t>зі якщо про це зазначено у тендерній документації</w:t>
            </w:r>
            <w:r>
              <w:rPr>
                <w:rFonts w:ascii="Times New Roman" w:eastAsia="Times New Roman" w:hAnsi="Times New Roman" w:cs="Times New Roman"/>
                <w:color w:val="000000"/>
                <w:sz w:val="24"/>
                <w:szCs w:val="24"/>
              </w:rPr>
              <w:t>.</w:t>
            </w:r>
          </w:p>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Pr>
                <w:rFonts w:ascii="Times New Roman" w:eastAsia="Times New Roman" w:hAnsi="Times New Roman" w:cs="Times New Roman"/>
                <w:color w:val="000000"/>
                <w:sz w:val="24"/>
                <w:szCs w:val="24"/>
              </w:rPr>
              <w:lastRenderedPageBreak/>
              <w:t>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C2F60">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5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0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DC2F60"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вимагається.</w:t>
            </w:r>
          </w:p>
          <w:p w:rsidR="00DC2F60" w:rsidRDefault="00DC2F60">
            <w:pPr>
              <w:spacing w:after="0" w:line="240" w:lineRule="auto"/>
              <w:rPr>
                <w:rFonts w:ascii="Times New Roman" w:eastAsia="Times New Roman" w:hAnsi="Times New Roman" w:cs="Times New Roman"/>
                <w:sz w:val="24"/>
                <w:szCs w:val="24"/>
              </w:rPr>
            </w:pPr>
          </w:p>
        </w:tc>
      </w:tr>
    </w:tbl>
    <w:p w:rsidR="00DC2F60" w:rsidRDefault="00DC2F60">
      <w:pPr>
        <w:keepNext/>
        <w:keepLines/>
        <w:pBdr>
          <w:top w:val="nil"/>
          <w:left w:val="nil"/>
          <w:bottom w:val="nil"/>
          <w:right w:val="nil"/>
          <w:between w:val="nil"/>
        </w:pBdr>
        <w:shd w:val="clear" w:color="auto" w:fill="FFFFFF"/>
        <w:spacing w:after="80" w:line="276" w:lineRule="auto"/>
        <w:jc w:val="both"/>
        <w:rPr>
          <w:rFonts w:ascii="Times New Roman" w:eastAsia="Times New Roman" w:hAnsi="Times New Roman" w:cs="Times New Roman"/>
          <w:i/>
          <w:color w:val="000000"/>
          <w:sz w:val="18"/>
          <w:szCs w:val="18"/>
        </w:rPr>
      </w:pPr>
    </w:p>
    <w:p w:rsidR="00DC2F60" w:rsidRDefault="00DC2F60">
      <w:pPr>
        <w:jc w:val="right"/>
      </w:pPr>
    </w:p>
    <w:p w:rsidR="00DC2F60" w:rsidRDefault="00000000">
      <w:pPr>
        <w:tabs>
          <w:tab w:val="left" w:pos="3645"/>
        </w:tabs>
        <w:rPr>
          <w:rFonts w:ascii="Times New Roman" w:eastAsia="Times New Roman" w:hAnsi="Times New Roman" w:cs="Times New Roman"/>
          <w:b/>
          <w:sz w:val="24"/>
          <w:szCs w:val="24"/>
        </w:rPr>
      </w:pPr>
      <w:r>
        <w:tab/>
      </w:r>
    </w:p>
    <w:sectPr w:rsidR="00DC2F60">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767"/>
    <w:multiLevelType w:val="multilevel"/>
    <w:tmpl w:val="60807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E11094"/>
    <w:multiLevelType w:val="multilevel"/>
    <w:tmpl w:val="534E63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2F68FF"/>
    <w:multiLevelType w:val="multilevel"/>
    <w:tmpl w:val="A52043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8D47A2"/>
    <w:multiLevelType w:val="multilevel"/>
    <w:tmpl w:val="92A654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541A98"/>
    <w:multiLevelType w:val="multilevel"/>
    <w:tmpl w:val="ED6AA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EFC5A81"/>
    <w:multiLevelType w:val="multilevel"/>
    <w:tmpl w:val="920EC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0742FC"/>
    <w:multiLevelType w:val="multilevel"/>
    <w:tmpl w:val="18B897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6908CB"/>
    <w:multiLevelType w:val="multilevel"/>
    <w:tmpl w:val="0F6AD8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514289"/>
    <w:multiLevelType w:val="multilevel"/>
    <w:tmpl w:val="986A9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7D67FA"/>
    <w:multiLevelType w:val="multilevel"/>
    <w:tmpl w:val="517C6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3906D0"/>
    <w:multiLevelType w:val="multilevel"/>
    <w:tmpl w:val="011A7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6D904C1"/>
    <w:multiLevelType w:val="multilevel"/>
    <w:tmpl w:val="292E37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EF17F3A"/>
    <w:multiLevelType w:val="multilevel"/>
    <w:tmpl w:val="5BFC51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2A7F21"/>
    <w:multiLevelType w:val="multilevel"/>
    <w:tmpl w:val="BFC6C8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B317512"/>
    <w:multiLevelType w:val="multilevel"/>
    <w:tmpl w:val="0E4A96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D965759"/>
    <w:multiLevelType w:val="multilevel"/>
    <w:tmpl w:val="74263A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B66CA4"/>
    <w:multiLevelType w:val="multilevel"/>
    <w:tmpl w:val="34AAE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27B094D"/>
    <w:multiLevelType w:val="multilevel"/>
    <w:tmpl w:val="DF3E0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4EA5D96"/>
    <w:multiLevelType w:val="multilevel"/>
    <w:tmpl w:val="3DAAEB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8145094"/>
    <w:multiLevelType w:val="multilevel"/>
    <w:tmpl w:val="0928C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18627BC"/>
    <w:multiLevelType w:val="multilevel"/>
    <w:tmpl w:val="47C81E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E0208FC"/>
    <w:multiLevelType w:val="multilevel"/>
    <w:tmpl w:val="C51096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EBE33FE"/>
    <w:multiLevelType w:val="multilevel"/>
    <w:tmpl w:val="C958C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09B383E"/>
    <w:multiLevelType w:val="multilevel"/>
    <w:tmpl w:val="BFD49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2CF3514"/>
    <w:multiLevelType w:val="multilevel"/>
    <w:tmpl w:val="0B701B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C2743DE"/>
    <w:multiLevelType w:val="multilevel"/>
    <w:tmpl w:val="B9F80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E030F40"/>
    <w:multiLevelType w:val="multilevel"/>
    <w:tmpl w:val="7AE87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68599348">
    <w:abstractNumId w:val="6"/>
  </w:num>
  <w:num w:numId="2" w16cid:durableId="928779048">
    <w:abstractNumId w:val="10"/>
  </w:num>
  <w:num w:numId="3" w16cid:durableId="1581409247">
    <w:abstractNumId w:val="2"/>
  </w:num>
  <w:num w:numId="4" w16cid:durableId="180777240">
    <w:abstractNumId w:val="7"/>
  </w:num>
  <w:num w:numId="5" w16cid:durableId="790131535">
    <w:abstractNumId w:val="4"/>
  </w:num>
  <w:num w:numId="6" w16cid:durableId="13775352">
    <w:abstractNumId w:val="26"/>
  </w:num>
  <w:num w:numId="7" w16cid:durableId="1617130077">
    <w:abstractNumId w:val="1"/>
  </w:num>
  <w:num w:numId="8" w16cid:durableId="1350718127">
    <w:abstractNumId w:val="25"/>
  </w:num>
  <w:num w:numId="9" w16cid:durableId="190921410">
    <w:abstractNumId w:val="17"/>
  </w:num>
  <w:num w:numId="10" w16cid:durableId="1648895079">
    <w:abstractNumId w:val="3"/>
  </w:num>
  <w:num w:numId="11" w16cid:durableId="31538149">
    <w:abstractNumId w:val="22"/>
  </w:num>
  <w:num w:numId="12" w16cid:durableId="862792263">
    <w:abstractNumId w:val="19"/>
  </w:num>
  <w:num w:numId="13" w16cid:durableId="706611490">
    <w:abstractNumId w:val="20"/>
  </w:num>
  <w:num w:numId="14" w16cid:durableId="1744331407">
    <w:abstractNumId w:val="23"/>
  </w:num>
  <w:num w:numId="15" w16cid:durableId="1818060746">
    <w:abstractNumId w:val="15"/>
  </w:num>
  <w:num w:numId="16" w16cid:durableId="854881777">
    <w:abstractNumId w:val="12"/>
  </w:num>
  <w:num w:numId="17" w16cid:durableId="1733116799">
    <w:abstractNumId w:val="18"/>
  </w:num>
  <w:num w:numId="18" w16cid:durableId="1552574066">
    <w:abstractNumId w:val="8"/>
  </w:num>
  <w:num w:numId="19" w16cid:durableId="1420328286">
    <w:abstractNumId w:val="11"/>
  </w:num>
  <w:num w:numId="20" w16cid:durableId="2114088277">
    <w:abstractNumId w:val="9"/>
  </w:num>
  <w:num w:numId="21" w16cid:durableId="1148941158">
    <w:abstractNumId w:val="16"/>
  </w:num>
  <w:num w:numId="22" w16cid:durableId="459030701">
    <w:abstractNumId w:val="13"/>
  </w:num>
  <w:num w:numId="23" w16cid:durableId="123625568">
    <w:abstractNumId w:val="14"/>
  </w:num>
  <w:num w:numId="24" w16cid:durableId="1398477999">
    <w:abstractNumId w:val="24"/>
  </w:num>
  <w:num w:numId="25" w16cid:durableId="219489012">
    <w:abstractNumId w:val="5"/>
  </w:num>
  <w:num w:numId="26" w16cid:durableId="1619950781">
    <w:abstractNumId w:val="21"/>
  </w:num>
  <w:num w:numId="27" w16cid:durableId="572198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60"/>
    <w:rsid w:val="00190F40"/>
    <w:rsid w:val="009D2F2D"/>
    <w:rsid w:val="00DC2F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E122"/>
  <w15:docId w15:val="{F8C66180-FC55-4D90-B5D6-B95770DA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lang w:eastAsia="ru-RU"/>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lang w:eastAsia="ru-RU"/>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6"/>
    <w:tblPr>
      <w:tblStyleRowBandSize w:val="1"/>
      <w:tblStyleColBandSize w:val="1"/>
      <w:tblCellMar>
        <w:top w:w="15" w:type="dxa"/>
        <w:left w:w="15" w:type="dxa"/>
        <w:bottom w:w="15" w:type="dxa"/>
        <w:right w:w="15" w:type="dxa"/>
      </w:tblCellMar>
    </w:tblPr>
  </w:style>
  <w:style w:type="table" w:customStyle="1" w:styleId="af3">
    <w:basedOn w:val="TableNormal6"/>
    <w:tblPr>
      <w:tblStyleRowBandSize w:val="1"/>
      <w:tblStyleColBandSize w:val="1"/>
      <w:tblCellMar>
        <w:top w:w="15" w:type="dxa"/>
        <w:left w:w="15" w:type="dxa"/>
        <w:bottom w:w="15" w:type="dxa"/>
        <w:right w:w="15" w:type="dxa"/>
      </w:tblCellMar>
    </w:tblPr>
  </w:style>
  <w:style w:type="table" w:customStyle="1" w:styleId="af4">
    <w:basedOn w:val="TableNormal6"/>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6"/>
    <w:tblPr>
      <w:tblStyleRowBandSize w:val="1"/>
      <w:tblStyleColBandSize w:val="1"/>
      <w:tblCellMar>
        <w:top w:w="15" w:type="dxa"/>
        <w:left w:w="15" w:type="dxa"/>
        <w:bottom w:w="15" w:type="dxa"/>
        <w:right w:w="15" w:type="dxa"/>
      </w:tblCellMar>
    </w:tblPr>
  </w:style>
  <w:style w:type="table" w:customStyle="1" w:styleId="af7">
    <w:basedOn w:val="TableNormal6"/>
    <w:tblPr>
      <w:tblStyleRowBandSize w:val="1"/>
      <w:tblStyleColBandSize w:val="1"/>
      <w:tblCellMar>
        <w:top w:w="15" w:type="dxa"/>
        <w:left w:w="15" w:type="dxa"/>
        <w:bottom w:w="15" w:type="dxa"/>
        <w:right w:w="15" w:type="dxa"/>
      </w:tblCellMar>
    </w:tblPr>
  </w:style>
  <w:style w:type="table" w:customStyle="1" w:styleId="af8">
    <w:basedOn w:val="TableNormal6"/>
    <w:pPr>
      <w:spacing w:after="0" w:line="240" w:lineRule="auto"/>
    </w:pPr>
    <w:tblPr>
      <w:tblStyleRowBandSize w:val="1"/>
      <w:tblStyleColBandSize w:val="1"/>
      <w:tblCellMar>
        <w:left w:w="108" w:type="dxa"/>
        <w:right w:w="108" w:type="dxa"/>
      </w:tblCellMar>
    </w:tblPr>
  </w:style>
  <w:style w:type="table" w:customStyle="1" w:styleId="af9">
    <w:basedOn w:val="TableNormal6"/>
    <w:tblPr>
      <w:tblStyleRowBandSize w:val="1"/>
      <w:tblStyleColBandSize w:val="1"/>
      <w:tblCellMar>
        <w:top w:w="15" w:type="dxa"/>
        <w:left w:w="15" w:type="dxa"/>
        <w:bottom w:w="15" w:type="dxa"/>
        <w:right w:w="15" w:type="dxa"/>
      </w:tblCellMar>
    </w:tblPr>
  </w:style>
  <w:style w:type="table" w:customStyle="1" w:styleId="afa">
    <w:basedOn w:val="TableNormal6"/>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6"/>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6"/>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6"/>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6"/>
    <w:pPr>
      <w:spacing w:after="200" w:line="276" w:lineRule="auto"/>
    </w:pPr>
    <w:tblPr>
      <w:tblStyleRowBandSize w:val="1"/>
      <w:tblStyleColBandSize w:val="1"/>
      <w:tblCellMar>
        <w:left w:w="115" w:type="dxa"/>
        <w:right w:w="115" w:type="dxa"/>
      </w:tblCellMar>
    </w:tblPr>
  </w:style>
  <w:style w:type="table" w:customStyle="1" w:styleId="aff">
    <w:basedOn w:val="TableNormal6"/>
    <w:pPr>
      <w:spacing w:after="200" w:line="276" w:lineRule="auto"/>
    </w:pPr>
    <w:tblPr>
      <w:tblStyleRowBandSize w:val="1"/>
      <w:tblStyleColBandSize w:val="1"/>
      <w:tblCellMar>
        <w:left w:w="115" w:type="dxa"/>
        <w:right w:w="115" w:type="dxa"/>
      </w:tblCellMar>
    </w:tblPr>
  </w:style>
  <w:style w:type="table" w:customStyle="1" w:styleId="aff0">
    <w:basedOn w:val="TableNormal6"/>
    <w:pPr>
      <w:spacing w:after="200" w:line="276" w:lineRule="auto"/>
    </w:pPr>
    <w:tblPr>
      <w:tblStyleRowBandSize w:val="1"/>
      <w:tblStyleColBandSize w:val="1"/>
      <w:tblCellMar>
        <w:left w:w="115" w:type="dxa"/>
        <w:right w:w="115" w:type="dxa"/>
      </w:tblCellMar>
    </w:tblPr>
  </w:style>
  <w:style w:type="table" w:customStyle="1" w:styleId="aff1">
    <w:basedOn w:val="TableNormal6"/>
    <w:pPr>
      <w:spacing w:after="200" w:line="276" w:lineRule="auto"/>
    </w:pPr>
    <w:tblPr>
      <w:tblStyleRowBandSize w:val="1"/>
      <w:tblStyleColBandSize w:val="1"/>
      <w:tblCellMar>
        <w:left w:w="115" w:type="dxa"/>
        <w:right w:w="115" w:type="dxa"/>
      </w:tblCellMar>
    </w:tblPr>
  </w:style>
  <w:style w:type="table" w:customStyle="1" w:styleId="aff2">
    <w:basedOn w:val="TableNormal6"/>
    <w:pPr>
      <w:spacing w:after="200" w:line="276" w:lineRule="auto"/>
    </w:pPr>
    <w:tblPr>
      <w:tblStyleRowBandSize w:val="1"/>
      <w:tblStyleColBandSize w:val="1"/>
      <w:tblCellMar>
        <w:left w:w="115" w:type="dxa"/>
        <w:right w:w="115" w:type="dxa"/>
      </w:tblCellMar>
    </w:tblPr>
  </w:style>
  <w:style w:type="table" w:customStyle="1" w:styleId="aff3">
    <w:basedOn w:val="TableNormal6"/>
    <w:pPr>
      <w:spacing w:after="200" w:line="276" w:lineRule="auto"/>
    </w:pPr>
    <w:tblPr>
      <w:tblStyleRowBandSize w:val="1"/>
      <w:tblStyleColBandSize w:val="1"/>
      <w:tblCellMar>
        <w:left w:w="115" w:type="dxa"/>
        <w:right w:w="115" w:type="dxa"/>
      </w:tblCellMar>
    </w:tblPr>
  </w:style>
  <w:style w:type="table" w:customStyle="1" w:styleId="aff4">
    <w:basedOn w:val="TableNormal6"/>
    <w:pPr>
      <w:spacing w:after="200" w:line="276" w:lineRule="auto"/>
    </w:pPr>
    <w:tblPr>
      <w:tblStyleRowBandSize w:val="1"/>
      <w:tblStyleColBandSize w:val="1"/>
      <w:tblCellMar>
        <w:left w:w="115" w:type="dxa"/>
        <w:right w:w="115" w:type="dxa"/>
      </w:tblCellMar>
    </w:tblPr>
  </w:style>
  <w:style w:type="table" w:customStyle="1" w:styleId="aff5">
    <w:basedOn w:val="TableNormal6"/>
    <w:pPr>
      <w:spacing w:after="200" w:line="276" w:lineRule="auto"/>
    </w:pPr>
    <w:tblPr>
      <w:tblStyleRowBandSize w:val="1"/>
      <w:tblStyleColBandSize w:val="1"/>
      <w:tblCellMar>
        <w:left w:w="115" w:type="dxa"/>
        <w:right w:w="115" w:type="dxa"/>
      </w:tblCellMar>
    </w:tblPr>
  </w:style>
  <w:style w:type="table" w:customStyle="1" w:styleId="aff6">
    <w:basedOn w:val="TableNormal6"/>
    <w:pPr>
      <w:spacing w:after="200" w:line="276" w:lineRule="auto"/>
    </w:pPr>
    <w:tblPr>
      <w:tblStyleRowBandSize w:val="1"/>
      <w:tblStyleColBandSize w:val="1"/>
      <w:tblCellMar>
        <w:left w:w="115" w:type="dxa"/>
        <w:right w:w="115" w:type="dxa"/>
      </w:tblCellMar>
    </w:tblPr>
  </w:style>
  <w:style w:type="table" w:customStyle="1" w:styleId="aff7">
    <w:basedOn w:val="TableNormal6"/>
    <w:pPr>
      <w:spacing w:after="200" w:line="276" w:lineRule="auto"/>
    </w:pPr>
    <w:tblPr>
      <w:tblStyleRowBandSize w:val="1"/>
      <w:tblStyleColBandSize w:val="1"/>
      <w:tblCellMar>
        <w:left w:w="115" w:type="dxa"/>
        <w:right w:w="115" w:type="dxa"/>
      </w:tblCellMar>
    </w:tblPr>
  </w:style>
  <w:style w:type="table" w:customStyle="1" w:styleId="aff8">
    <w:basedOn w:val="TableNormal6"/>
    <w:pPr>
      <w:spacing w:after="200" w:line="276" w:lineRule="auto"/>
    </w:pPr>
    <w:tblPr>
      <w:tblStyleRowBandSize w:val="1"/>
      <w:tblStyleColBandSize w:val="1"/>
      <w:tblCellMar>
        <w:left w:w="115" w:type="dxa"/>
        <w:right w:w="115" w:type="dxa"/>
      </w:tblCellMar>
    </w:tblPr>
  </w:style>
  <w:style w:type="table" w:customStyle="1" w:styleId="aff9">
    <w:basedOn w:val="TableNormal2"/>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2"/>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2"/>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OSa8vsvGTZpDdXmzgi7HuOLwfw==">AMUW2mV0qlfIinigqRijtf4gmjjUcpdl7QBIE2N7clLUPVDBkQULVq5TNW7CdcpsZ3I1nVMym4HLMhCYg0InHEfWtPH7qVgfzkLGf5Pjp20bYA1XjcrSTGk=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26164</Words>
  <Characters>14915</Characters>
  <Application>Microsoft Office Word</Application>
  <DocSecurity>0</DocSecurity>
  <Lines>124</Lines>
  <Paragraphs>81</Paragraphs>
  <ScaleCrop>false</ScaleCrop>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5</cp:revision>
  <dcterms:created xsi:type="dcterms:W3CDTF">2023-03-21T14:08:00Z</dcterms:created>
  <dcterms:modified xsi:type="dcterms:W3CDTF">2023-03-31T08:51:00Z</dcterms:modified>
</cp:coreProperties>
</file>