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5" w:rsidRPr="007E7425" w:rsidRDefault="00FD4DD5" w:rsidP="00FD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некомерційн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Бородянськоїселищної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</w:t>
      </w:r>
    </w:p>
    <w:p w:rsidR="00FD4DD5" w:rsidRDefault="00FD4DD5" w:rsidP="00FD4D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Бородянська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центральна </w:t>
      </w: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районналікарня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4DD5" w:rsidRDefault="00FD4DD5" w:rsidP="00FD4D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(КНП БСР «Бородянська ЦРЛ»)</w:t>
      </w:r>
    </w:p>
    <w:p w:rsidR="00FD4DD5" w:rsidRDefault="00FD4DD5" w:rsidP="00BB1971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D4DD5" w:rsidRDefault="00FD4DD5" w:rsidP="00FD4DD5">
      <w:pPr>
        <w:autoSpaceDE w:val="0"/>
        <w:autoSpaceDN w:val="0"/>
        <w:adjustRightInd w:val="0"/>
        <w:spacing w:line="210" w:lineRule="atLeast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D4DD5">
        <w:rPr>
          <w:rFonts w:ascii="Times New Roman" w:hAnsi="Times New Roman"/>
          <w:b/>
          <w:color w:val="000000"/>
          <w:sz w:val="24"/>
          <w:szCs w:val="24"/>
          <w:lang w:val="uk-UA"/>
        </w:rPr>
        <w:t>ЗМІНИ</w:t>
      </w:r>
    </w:p>
    <w:p w:rsidR="00FD4DD5" w:rsidRDefault="00FD4DD5" w:rsidP="00FD4DD5">
      <w:pPr>
        <w:autoSpaceDE w:val="0"/>
        <w:autoSpaceDN w:val="0"/>
        <w:adjustRightInd w:val="0"/>
        <w:spacing w:line="210" w:lineRule="atLeast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МЕДИКО-ТЕХНІЧНІ ВИМОГИ</w:t>
      </w:r>
    </w:p>
    <w:p w:rsid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</w:t>
      </w:r>
    </w:p>
    <w:p w:rsidR="001014A7" w:rsidRPr="001014A7" w:rsidRDefault="001014A7" w:rsidP="001014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1014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«</w:t>
      </w:r>
      <w:bookmarkStart w:id="0" w:name="_GoBack"/>
      <w:bookmarkEnd w:id="0"/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ДК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021:2015 </w:t>
      </w:r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“Єдиний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закупівельний </w:t>
      </w:r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словник”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33120000-7 - Системи реєстрації медичної інформації та дослідне обладнання ((НК 024:2023 - 42652 - Контрольний матеріал для визначення антигенів/антитіл до множинних </w:t>
      </w:r>
      <w:proofErr w:type="spellStart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гемоконтактних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інфекцій,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IVD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(діагностика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invitro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) - Швидкий тест для виявлення гепатиту В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HBsAg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/ВІЛ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типу/гепатиту С/сифілісу, тест картка (цільна кров/сироватка/плазма))</w:t>
      </w:r>
    </w:p>
    <w:p w:rsidR="001014A7" w:rsidRPr="001014A7" w:rsidRDefault="001014A7" w:rsidP="001014A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014A7" w:rsidRP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14A7" w:rsidRPr="00BE64DF" w:rsidRDefault="001014A7" w:rsidP="001014A7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</w:pPr>
      <w:r w:rsidRPr="00BE64DF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  <w:t>Було:</w:t>
      </w:r>
    </w:p>
    <w:p w:rsidR="001014A7" w:rsidRPr="00AD7BE3" w:rsidRDefault="001014A7" w:rsidP="001014A7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  <w:t>Додаток 4</w:t>
      </w:r>
    </w:p>
    <w:p w:rsidR="001014A7" w:rsidRPr="00AD7BE3" w:rsidRDefault="001014A7" w:rsidP="001014A7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lang w:val="uk-UA" w:eastAsia="ru-RU"/>
        </w:rPr>
      </w:pPr>
      <w:r w:rsidRPr="00AD7BE3">
        <w:rPr>
          <w:rFonts w:ascii="Times New Roman" w:eastAsia="Calibri" w:hAnsi="Times New Roman" w:cs="Times New Roman"/>
          <w:bCs/>
          <w:color w:val="000000"/>
          <w:lang w:val="uk-UA" w:eastAsia="ru-RU"/>
        </w:rPr>
        <w:t>до тендерної документації</w:t>
      </w:r>
    </w:p>
    <w:p w:rsidR="001014A7" w:rsidRPr="00AD7BE3" w:rsidRDefault="001014A7" w:rsidP="001014A7">
      <w:pPr>
        <w:widowControl w:val="0"/>
        <w:tabs>
          <w:tab w:val="left" w:pos="852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МЕДИКО-ТЕХНІЧНІ ВИМОГИ</w:t>
      </w:r>
    </w:p>
    <w:p w:rsid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</w:t>
      </w:r>
    </w:p>
    <w:p w:rsidR="001014A7" w:rsidRPr="001014A7" w:rsidRDefault="001014A7" w:rsidP="001014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1014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«</w:t>
      </w:r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ДК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021:2015 </w:t>
      </w:r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“Єдиний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закупівельний </w:t>
      </w:r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словник”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33120000-7 - Системи реєстрації медичної інформації та дослідне обладнання ((НК 024:2023 - 42652 - Контрольний матеріал для визначення антигенів/антитіл до множинних </w:t>
      </w:r>
      <w:proofErr w:type="spellStart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гемоконтактних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інфекцій,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IVD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(діагностика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invitro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) - Швидкий тест для виявлення гепатиту В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HBsAg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/ВІЛ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типу/гепатиту С/сифілісу, тест картка (цільна кров/сироватка/плазма))</w:t>
      </w:r>
    </w:p>
    <w:p w:rsidR="001014A7" w:rsidRPr="001014A7" w:rsidRDefault="001014A7" w:rsidP="001014A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014A7" w:rsidRP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14A7" w:rsidRDefault="001014A7" w:rsidP="001014A7">
      <w:pPr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Таблиця№2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51"/>
        <w:gridCol w:w="3970"/>
        <w:gridCol w:w="851"/>
        <w:gridCol w:w="850"/>
        <w:gridCol w:w="1384"/>
        <w:gridCol w:w="1025"/>
      </w:tblGrid>
      <w:tr w:rsidR="001014A7" w:rsidTr="00316B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з/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предмету закупі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316B79">
            <w:pPr>
              <w:spacing w:after="200"/>
              <w:ind w:right="-10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Од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7" w:rsidRPr="006F4916" w:rsidRDefault="001014A7" w:rsidP="006F4916">
            <w:pPr>
              <w:spacing w:after="200"/>
              <w:ind w:right="-142"/>
              <w:rPr>
                <w:rFonts w:ascii="Times New Roman" w:eastAsia="MS Mincho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(так/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ні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посиланням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відповіднусторінкутехнічого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документу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Країнапоходження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 xml:space="preserve"> товару</w:t>
            </w:r>
          </w:p>
        </w:tc>
      </w:tr>
      <w:tr w:rsidR="001014A7" w:rsidTr="00316B7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Швидкий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гепатиту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ВHBsAg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</w:rPr>
              <w:t>ІЛ I та II типу/гепатиту С/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тест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/плазма)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Швидкi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експрес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 тести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мають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бути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тест-карток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забезпечувати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якісне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визначення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плазмапри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кімнатній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температурі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гепатиту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ВHBsAg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ІЛ І та ІІ типу/гепатиту С/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 w:rsidR="006F49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імунохроматографічним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методом без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застосування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спеціального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обладнання</w:t>
            </w:r>
            <w:proofErr w:type="spellEnd"/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Необхідний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об’є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зразку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плазма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 –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 мкл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Чутливість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повинна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бути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нижчою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за: 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гепатиту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100%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ВІЛ І та ІІ типу – 99,60%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гепатиту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99,79%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98,60%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Специфічність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повинна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бути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нижчою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гепатиту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99,10%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ВІЛ І та ІІ типу – 99,70%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гепатиту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99,55%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99,00%</w:t>
            </w:r>
          </w:p>
          <w:p w:rsidR="001014A7" w:rsidRPr="00316277" w:rsidRDefault="001014A7" w:rsidP="0075531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Комплектація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тест-касета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proofErr w:type="gram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іпетка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, буфер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повинно бути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виявлено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інтерференції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ірубіном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 мг/дл),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гемоглобіном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(20 мг/дл)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аботригліцеридами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(600 мг/дл)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чутливість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специфічність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тесту.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повинна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спостерігатися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перехресна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реактивність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тестуванні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зразків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пацієнтів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інфікованих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гепатит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В, гепатит С, гепатит Е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ревматоїдний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фактор.</w:t>
            </w:r>
          </w:p>
          <w:p w:rsidR="001014A7" w:rsidRDefault="001014A7" w:rsidP="0075531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Упаковка повинна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зберігати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безпечність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стабільність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вміщу</w:t>
            </w:r>
            <w:proofErr w:type="gramStart"/>
            <w:r>
              <w:rPr>
                <w:rFonts w:ascii="Times New Roman" w:eastAsia="Calibri" w:hAnsi="Times New Roman" w:cs="Times New Roman"/>
              </w:rPr>
              <w:t>є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7" w:rsidRDefault="001014A7" w:rsidP="00755310">
            <w:pPr>
              <w:spacing w:after="200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</w:tbl>
    <w:p w:rsidR="001014A7" w:rsidRPr="00F01017" w:rsidRDefault="001014A7" w:rsidP="001014A7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14A7" w:rsidRPr="00F01017" w:rsidRDefault="001014A7" w:rsidP="001014A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014A7" w:rsidRDefault="001014A7" w:rsidP="001014A7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</w:pPr>
      <w:r w:rsidRPr="00BE64DF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  <w:t>Стало:</w:t>
      </w:r>
    </w:p>
    <w:p w:rsidR="001014A7" w:rsidRPr="00AD7BE3" w:rsidRDefault="001014A7" w:rsidP="001014A7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  <w:t>Додаток 4</w:t>
      </w:r>
    </w:p>
    <w:p w:rsidR="001014A7" w:rsidRPr="00AD7BE3" w:rsidRDefault="001014A7" w:rsidP="001014A7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lang w:val="uk-UA" w:eastAsia="ru-RU"/>
        </w:rPr>
      </w:pPr>
      <w:r w:rsidRPr="00AD7BE3">
        <w:rPr>
          <w:rFonts w:ascii="Times New Roman" w:eastAsia="Calibri" w:hAnsi="Times New Roman" w:cs="Times New Roman"/>
          <w:bCs/>
          <w:color w:val="000000"/>
          <w:lang w:val="uk-UA" w:eastAsia="ru-RU"/>
        </w:rPr>
        <w:t>до тендерної документації</w:t>
      </w:r>
    </w:p>
    <w:p w:rsidR="001014A7" w:rsidRPr="00AD7BE3" w:rsidRDefault="001014A7" w:rsidP="001014A7">
      <w:pPr>
        <w:widowControl w:val="0"/>
        <w:tabs>
          <w:tab w:val="left" w:pos="852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МЕДИКО-ТЕХНІЧНІ ВИМОГИ</w:t>
      </w:r>
    </w:p>
    <w:p w:rsid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</w:t>
      </w:r>
    </w:p>
    <w:p w:rsidR="001014A7" w:rsidRPr="001014A7" w:rsidRDefault="001014A7" w:rsidP="001014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1014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«</w:t>
      </w:r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ДК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021:2015 </w:t>
      </w:r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“Єдиний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закупівельний </w:t>
      </w:r>
      <w:proofErr w:type="spellStart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словник”</w:t>
      </w:r>
      <w:proofErr w:type="spellEnd"/>
      <w:r w:rsidRPr="001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33120000-7 - Системи реєстрації медичної інформації та дослідне обладнання ((НК 024:2023 - 42652 - Контрольний матеріал для визначення антигенів/антитіл до множинних </w:t>
      </w:r>
      <w:proofErr w:type="spellStart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гемоконтактних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інфекцій,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IVD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(діагностика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invitro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) - Швидкий тест для виявлення гепатиту В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HBsAg</w:t>
      </w:r>
      <w:proofErr w:type="spellEnd"/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/ВІЛ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1014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типу/гепатиту С/сифілісу, тест картка (цільна кров/сироватка/плазма))</w:t>
      </w:r>
    </w:p>
    <w:p w:rsidR="001014A7" w:rsidRPr="001014A7" w:rsidRDefault="001014A7" w:rsidP="001014A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014A7" w:rsidRPr="001014A7" w:rsidRDefault="001014A7" w:rsidP="001014A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14A7" w:rsidRDefault="001014A7" w:rsidP="001014A7">
      <w:pPr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Таблиця№2</w:t>
      </w:r>
    </w:p>
    <w:tbl>
      <w:tblPr>
        <w:tblpPr w:leftFromText="180" w:rightFromText="180" w:vertAnchor="text" w:horzAnchor="margin" w:tblpX="-459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51"/>
        <w:gridCol w:w="3829"/>
        <w:gridCol w:w="851"/>
        <w:gridCol w:w="850"/>
        <w:gridCol w:w="1384"/>
        <w:gridCol w:w="1025"/>
      </w:tblGrid>
      <w:tr w:rsidR="001014A7" w:rsidTr="0075531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з/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предмету закупі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Од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7" w:rsidRDefault="001014A7" w:rsidP="00755310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(так/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ні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посиланням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відповіднусторінкутехнічого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документу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Країнапоходження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 xml:space="preserve"> товару</w:t>
            </w:r>
          </w:p>
        </w:tc>
      </w:tr>
      <w:tr w:rsidR="001014A7" w:rsidTr="0075531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Швидкий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гепатиту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ВHBsAg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</w:rPr>
              <w:t>ІЛ I та II типу/гепатиту С/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тест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/плазма)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Швидкi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експрес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 тести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мають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бути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тест-карток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забезпечувати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якісне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визначення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плазмапри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кімнатній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температурі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гепатиту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ВHBsAg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ІЛ І та ІІ типу/гепатиту С/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 w:rsidR="006F49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імунохроматографічним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методом без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застосування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спеціального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обладнання</w:t>
            </w:r>
            <w:proofErr w:type="spellEnd"/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Необхідний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об’є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зразку</w:t>
            </w:r>
            <w:proofErr w:type="spellEnd"/>
            <w:r w:rsidR="006F49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плазма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абоцільна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 –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 мкл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Чутливість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повинна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бути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нижчою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за: 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гепатиту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100%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ВІЛ І та ІІ типу – 99,60%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гепатиту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99,79%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98,60%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Специфічність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повинна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бути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нижчою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гепатиту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99,10%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ВІЛ І та ІІ типу – 99,70%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гепатиту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99,55%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99,00%</w:t>
            </w:r>
          </w:p>
          <w:p w:rsidR="001014A7" w:rsidRPr="00316277" w:rsidRDefault="001014A7" w:rsidP="0075531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Комплектація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тест-касета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proofErr w:type="gram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іпетка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, буфер</w:t>
            </w:r>
            <w:r w:rsidRPr="003162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скарифікатор,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спиртові</w:t>
            </w:r>
            <w:r w:rsidRPr="003162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серветки</w:t>
            </w:r>
          </w:p>
          <w:p w:rsidR="001014A7" w:rsidRPr="001014A7" w:rsidRDefault="001014A7" w:rsidP="0075531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>Не повинно бути виявлено інтерференції з білірубіном (10 мг/</w:t>
            </w:r>
            <w:proofErr w:type="spellStart"/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>дл</w:t>
            </w:r>
            <w:proofErr w:type="spellEnd"/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>), гемоглобіном (20 мг/</w:t>
            </w:r>
            <w:proofErr w:type="spellStart"/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>дл</w:t>
            </w:r>
            <w:proofErr w:type="spellEnd"/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або </w:t>
            </w:r>
            <w:proofErr w:type="spellStart"/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>тригліцеридами</w:t>
            </w:r>
            <w:proofErr w:type="spellEnd"/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(600 мг/</w:t>
            </w:r>
            <w:proofErr w:type="spellStart"/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>дл</w:t>
            </w:r>
            <w:proofErr w:type="spellEnd"/>
            <w:r w:rsidRPr="001014A7">
              <w:rPr>
                <w:rFonts w:ascii="Times New Roman" w:eastAsia="Times New Roman" w:hAnsi="Times New Roman" w:cs="Times New Roman"/>
                <w:lang w:val="uk-UA" w:eastAsia="ru-RU"/>
              </w:rPr>
              <w:t>) на чутливість та специфічність тесту.</w:t>
            </w:r>
          </w:p>
          <w:p w:rsidR="001014A7" w:rsidRDefault="001014A7" w:rsidP="0075531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повинна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спостерігатися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перехресна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реактивність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тестуванні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зразків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="006F49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пацієнтів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інфікованих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гепатит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В, гепатит С, гепатит Е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ревматоїдний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фактор.</w:t>
            </w:r>
          </w:p>
          <w:p w:rsidR="001014A7" w:rsidRDefault="001014A7" w:rsidP="0075531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Упаковка повинна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зберігатиякість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безпечність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стабільність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вміщу</w:t>
            </w:r>
            <w:proofErr w:type="gramStart"/>
            <w:r>
              <w:rPr>
                <w:rFonts w:ascii="Times New Roman" w:eastAsia="Calibri" w:hAnsi="Times New Roman" w:cs="Times New Roman"/>
              </w:rPr>
              <w:t>є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7" w:rsidRDefault="001014A7" w:rsidP="00755310">
            <w:pPr>
              <w:spacing w:after="200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7" w:rsidRDefault="001014A7" w:rsidP="00755310">
            <w:pPr>
              <w:spacing w:after="200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</w:tbl>
    <w:p w:rsidR="001014A7" w:rsidRPr="00AD7BE3" w:rsidRDefault="001014A7" w:rsidP="001014A7">
      <w:pPr>
        <w:spacing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E65CE" w:rsidRDefault="007E65CE" w:rsidP="007E65CE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E65CE" w:rsidRPr="00BE64DF" w:rsidRDefault="007E65CE" w:rsidP="007E65CE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0753C1" w:rsidRDefault="000753C1" w:rsidP="00FB3C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4DD5" w:rsidRPr="00FD4DD5" w:rsidRDefault="00FD4DD5" w:rsidP="00FB3C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7D01" w:rsidRPr="0008511F" w:rsidRDefault="00FB7D01" w:rsidP="00FB7D0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D01" w:rsidRDefault="00FB7D01" w:rsidP="00FB7D01">
      <w:pPr>
        <w:pStyle w:val="ShiftAlt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Уповноважена особа</w:t>
      </w:r>
    </w:p>
    <w:tbl>
      <w:tblPr>
        <w:tblStyle w:val="a7"/>
        <w:tblW w:w="105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342"/>
        <w:gridCol w:w="1152"/>
        <w:gridCol w:w="2612"/>
      </w:tblGrid>
      <w:tr w:rsidR="00FB7D01" w:rsidTr="00974261">
        <w:tc>
          <w:tcPr>
            <w:tcW w:w="4395" w:type="dxa"/>
            <w:hideMark/>
          </w:tcPr>
          <w:p w:rsidR="00FB7D01" w:rsidRDefault="00FB7D01" w:rsidP="00974261">
            <w:pPr>
              <w:ind w:right="-284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КНП БСР "Бородянська ЦРЛ" </w:t>
            </w:r>
          </w:p>
          <w:p w:rsidR="00FB7D01" w:rsidRDefault="00FB7D01" w:rsidP="00974261">
            <w:pPr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       (найменування замовника)</w:t>
            </w:r>
          </w:p>
        </w:tc>
        <w:tc>
          <w:tcPr>
            <w:tcW w:w="2342" w:type="dxa"/>
            <w:hideMark/>
          </w:tcPr>
          <w:p w:rsidR="00FB7D01" w:rsidRDefault="00FB7D01" w:rsidP="00974261">
            <w:pPr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:rsidR="00FB7D01" w:rsidRDefault="00FB7D01" w:rsidP="00974261">
            <w:pPr>
              <w:pStyle w:val="ShiftAlt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  <w:t xml:space="preserve">          (підпис)</w:t>
            </w:r>
          </w:p>
        </w:tc>
        <w:tc>
          <w:tcPr>
            <w:tcW w:w="1152" w:type="dxa"/>
            <w:hideMark/>
          </w:tcPr>
          <w:p w:rsidR="00FB7D01" w:rsidRDefault="00FB7D01" w:rsidP="00974261">
            <w:pPr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2612" w:type="dxa"/>
            <w:hideMark/>
          </w:tcPr>
          <w:p w:rsidR="00FB7D01" w:rsidRDefault="00FB7D01" w:rsidP="00974261">
            <w:pPr>
              <w:ind w:left="367" w:right="-589" w:hanging="367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Олег КАТАШОВ</w:t>
            </w:r>
          </w:p>
          <w:p w:rsidR="00FB7D01" w:rsidRDefault="00FB7D01" w:rsidP="00974261">
            <w:pPr>
              <w:ind w:left="367" w:right="-589" w:hanging="367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        (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)</w:t>
            </w:r>
          </w:p>
        </w:tc>
      </w:tr>
    </w:tbl>
    <w:p w:rsidR="0023457A" w:rsidRDefault="0023457A">
      <w:pPr>
        <w:rPr>
          <w:lang w:val="uk-UA"/>
        </w:rPr>
      </w:pPr>
    </w:p>
    <w:p w:rsidR="001B141D" w:rsidRDefault="001B141D">
      <w:pPr>
        <w:rPr>
          <w:lang w:val="uk-UA"/>
        </w:rPr>
      </w:pPr>
    </w:p>
    <w:p w:rsidR="001B141D" w:rsidRDefault="001B141D">
      <w:pPr>
        <w:rPr>
          <w:lang w:val="uk-UA"/>
        </w:rPr>
      </w:pPr>
    </w:p>
    <w:p w:rsidR="001B141D" w:rsidRDefault="001B141D">
      <w:pPr>
        <w:rPr>
          <w:lang w:val="uk-UA"/>
        </w:rPr>
      </w:pPr>
    </w:p>
    <w:p w:rsidR="001B141D" w:rsidRDefault="001B141D">
      <w:pPr>
        <w:rPr>
          <w:lang w:val="uk-UA"/>
        </w:rPr>
      </w:pPr>
    </w:p>
    <w:p w:rsidR="001B141D" w:rsidRPr="000434C4" w:rsidRDefault="001B141D">
      <w:pPr>
        <w:rPr>
          <w:lang w:val="uk-UA"/>
        </w:rPr>
      </w:pPr>
    </w:p>
    <w:p w:rsidR="001014A7" w:rsidRPr="000434C4" w:rsidRDefault="001014A7">
      <w:pPr>
        <w:rPr>
          <w:lang w:val="uk-UA"/>
        </w:rPr>
      </w:pPr>
    </w:p>
    <w:sectPr w:rsidR="001014A7" w:rsidRPr="000434C4" w:rsidSect="00FD4DD5">
      <w:pgSz w:w="11909" w:h="16834"/>
      <w:pgMar w:top="568" w:right="994" w:bottom="28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C86"/>
    <w:multiLevelType w:val="hybridMultilevel"/>
    <w:tmpl w:val="B63A70C4"/>
    <w:lvl w:ilvl="0" w:tplc="2886F0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5CA1010"/>
    <w:multiLevelType w:val="hybridMultilevel"/>
    <w:tmpl w:val="BC20AB00"/>
    <w:lvl w:ilvl="0" w:tplc="64C0971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28365D7"/>
    <w:multiLevelType w:val="hybridMultilevel"/>
    <w:tmpl w:val="4CD4C7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A37D9"/>
    <w:multiLevelType w:val="hybridMultilevel"/>
    <w:tmpl w:val="2FB0FC44"/>
    <w:lvl w:ilvl="0" w:tplc="42DC6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457A"/>
    <w:rsid w:val="0002349B"/>
    <w:rsid w:val="000434C4"/>
    <w:rsid w:val="000744C5"/>
    <w:rsid w:val="000753C1"/>
    <w:rsid w:val="001014A7"/>
    <w:rsid w:val="001B141D"/>
    <w:rsid w:val="0023457A"/>
    <w:rsid w:val="00316B79"/>
    <w:rsid w:val="00436818"/>
    <w:rsid w:val="004872DD"/>
    <w:rsid w:val="005C4C5A"/>
    <w:rsid w:val="006F4916"/>
    <w:rsid w:val="00712E22"/>
    <w:rsid w:val="007E65CE"/>
    <w:rsid w:val="007E7425"/>
    <w:rsid w:val="009135A9"/>
    <w:rsid w:val="00982D49"/>
    <w:rsid w:val="009957CA"/>
    <w:rsid w:val="00B54D34"/>
    <w:rsid w:val="00BB1971"/>
    <w:rsid w:val="00BD27A7"/>
    <w:rsid w:val="00CB0435"/>
    <w:rsid w:val="00CB191E"/>
    <w:rsid w:val="00E06CEA"/>
    <w:rsid w:val="00E4409F"/>
    <w:rsid w:val="00E4742C"/>
    <w:rsid w:val="00FB3C53"/>
    <w:rsid w:val="00FB7D01"/>
    <w:rsid w:val="00FD105F"/>
    <w:rsid w:val="00FD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7A7"/>
  </w:style>
  <w:style w:type="paragraph" w:styleId="1">
    <w:name w:val="heading 1"/>
    <w:basedOn w:val="a"/>
    <w:next w:val="a"/>
    <w:link w:val="10"/>
    <w:uiPriority w:val="9"/>
    <w:qFormat/>
    <w:rsid w:val="00BD27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D27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D27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D27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D27A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D27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2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27A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D27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D27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7E742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customStyle="1" w:styleId="3ShiftAlt">
    <w:name w:val="Додаток_заголовок 3 (Додаток___Shift+Alt)"/>
    <w:uiPriority w:val="2"/>
    <w:rsid w:val="007E7425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val="uk-UA" w:eastAsia="en-US"/>
    </w:rPr>
  </w:style>
  <w:style w:type="paragraph" w:styleId="a6">
    <w:name w:val="List Paragraph"/>
    <w:basedOn w:val="a"/>
    <w:uiPriority w:val="34"/>
    <w:qFormat/>
    <w:rsid w:val="007E7425"/>
    <w:pPr>
      <w:ind w:left="720"/>
      <w:contextualSpacing/>
    </w:pPr>
  </w:style>
  <w:style w:type="character" w:customStyle="1" w:styleId="Bold">
    <w:name w:val="Bold"/>
    <w:rsid w:val="00CB191E"/>
    <w:rPr>
      <w:rFonts w:ascii="Times New Roman" w:hAnsi="Times New Roman"/>
      <w:b/>
      <w:bCs/>
    </w:rPr>
  </w:style>
  <w:style w:type="character" w:customStyle="1" w:styleId="js-apiid">
    <w:name w:val="js-apiid"/>
    <w:basedOn w:val="a0"/>
    <w:rsid w:val="009957CA"/>
  </w:style>
  <w:style w:type="table" w:styleId="a7">
    <w:name w:val="Table Grid"/>
    <w:basedOn w:val="a1"/>
    <w:uiPriority w:val="59"/>
    <w:rsid w:val="00BB1971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CB0435"/>
    <w:pPr>
      <w:spacing w:after="20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CB0435"/>
    <w:rPr>
      <w:sz w:val="40"/>
      <w:szCs w:val="40"/>
    </w:rPr>
  </w:style>
  <w:style w:type="table" w:customStyle="1" w:styleId="11">
    <w:name w:val="Сетка таблицы1"/>
    <w:basedOn w:val="a1"/>
    <w:next w:val="a7"/>
    <w:uiPriority w:val="59"/>
    <w:rsid w:val="007E65CE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E65CE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6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7E742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customStyle="1" w:styleId="3ShiftAlt">
    <w:name w:val="Додаток_заголовок 3 (Додаток___Shift+Alt)"/>
    <w:uiPriority w:val="2"/>
    <w:rsid w:val="007E7425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val="uk-UA" w:eastAsia="en-US"/>
    </w:rPr>
  </w:style>
  <w:style w:type="paragraph" w:styleId="a6">
    <w:name w:val="List Paragraph"/>
    <w:basedOn w:val="a"/>
    <w:uiPriority w:val="34"/>
    <w:qFormat/>
    <w:rsid w:val="007E7425"/>
    <w:pPr>
      <w:ind w:left="720"/>
      <w:contextualSpacing/>
    </w:pPr>
  </w:style>
  <w:style w:type="character" w:customStyle="1" w:styleId="Bold">
    <w:name w:val="Bold"/>
    <w:rsid w:val="00CB191E"/>
    <w:rPr>
      <w:rFonts w:ascii="Times New Roman" w:hAnsi="Times New Roman"/>
      <w:b/>
      <w:bCs/>
    </w:rPr>
  </w:style>
  <w:style w:type="character" w:customStyle="1" w:styleId="js-apiid">
    <w:name w:val="js-apiid"/>
    <w:basedOn w:val="a0"/>
    <w:rsid w:val="009957CA"/>
  </w:style>
  <w:style w:type="table" w:styleId="a7">
    <w:name w:val="Table Grid"/>
    <w:basedOn w:val="a1"/>
    <w:uiPriority w:val="59"/>
    <w:rsid w:val="00BB1971"/>
    <w:pPr>
      <w:spacing w:line="240" w:lineRule="auto"/>
    </w:pPr>
    <w:rPr>
      <w:rFonts w:asciiTheme="minorHAnsi" w:eastAsiaTheme="minorEastAsia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CB0435"/>
    <w:pPr>
      <w:spacing w:after="20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CB0435"/>
    <w:rPr>
      <w:sz w:val="40"/>
      <w:szCs w:val="40"/>
    </w:rPr>
  </w:style>
  <w:style w:type="table" w:customStyle="1" w:styleId="11">
    <w:name w:val="Сетка таблицы1"/>
    <w:basedOn w:val="a1"/>
    <w:next w:val="a7"/>
    <w:uiPriority w:val="59"/>
    <w:rsid w:val="007E65CE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E65CE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6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cp:lastPrinted>2024-01-23T10:33:00Z</cp:lastPrinted>
  <dcterms:created xsi:type="dcterms:W3CDTF">2024-01-22T14:52:00Z</dcterms:created>
  <dcterms:modified xsi:type="dcterms:W3CDTF">2024-01-23T11:16:00Z</dcterms:modified>
</cp:coreProperties>
</file>