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after="0" w:line="240" w:lineRule="atLeast"/>
        <w:ind w:left="235" w:right="-1153" w:firstLine="60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№3 до Тендерної документації</w:t>
      </w:r>
    </w:p>
    <w:p>
      <w:pPr>
        <w:suppressAutoHyphens/>
        <w:spacing w:after="0" w:line="240" w:lineRule="atLeast"/>
        <w:ind w:left="235" w:right="-1153" w:firstLine="60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ДОГОВІР № ___</w:t>
      </w:r>
    </w:p>
    <w:p>
      <w:pPr>
        <w:suppressAutoHyphens/>
        <w:spacing w:after="0" w:line="240" w:lineRule="atLeast"/>
        <w:ind w:left="235" w:right="-1153" w:firstLine="60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 закупівлю послуг</w:t>
      </w:r>
    </w:p>
    <w:p>
      <w:pPr>
        <w:suppressAutoHyphens/>
        <w:spacing w:after="0" w:line="240" w:lineRule="atLeast"/>
        <w:ind w:left="235" w:right="-1153" w:firstLine="605"/>
        <w:jc w:val="center"/>
        <w:rPr>
          <w:rFonts w:ascii="Times New Roman" w:hAnsi="Times New Roman" w:cs="Times New Roman"/>
          <w:b/>
          <w:bCs/>
          <w:sz w:val="24"/>
          <w:szCs w:val="24"/>
          <w:lang w:val="uk-UA"/>
        </w:rPr>
      </w:pPr>
    </w:p>
    <w:p>
      <w:pPr>
        <w:suppressAutoHyphens/>
        <w:spacing w:after="0" w:line="240" w:lineRule="atLeast"/>
        <w:ind w:left="235" w:right="-1153" w:firstLine="602"/>
        <w:rPr>
          <w:rFonts w:ascii="Times New Roman" w:hAnsi="Times New Roman" w:cs="Times New Roman"/>
          <w:b/>
          <w:bCs/>
          <w:sz w:val="24"/>
          <w:szCs w:val="24"/>
          <w:lang w:val="uk-UA"/>
        </w:rPr>
      </w:pPr>
      <w:r>
        <w:rPr>
          <w:rFonts w:ascii="Times New Roman" w:hAnsi="Times New Roman" w:cs="Times New Roman"/>
          <w:sz w:val="24"/>
          <w:szCs w:val="24"/>
          <w:lang w:val="uk-UA"/>
        </w:rPr>
        <w:t>м. Вінниця</w:t>
      </w:r>
      <w:r>
        <w:rPr>
          <w:rFonts w:ascii="Times New Roman" w:hAnsi="Times New Roman" w:cs="Times New Roman"/>
          <w:sz w:val="24"/>
          <w:szCs w:val="24"/>
          <w:lang w:val="uk-UA"/>
        </w:rPr>
        <w:tab/>
      </w:r>
      <w:r>
        <w:rPr>
          <w:rFonts w:ascii="Times New Roman" w:hAnsi="Times New Roman" w:cs="Times New Roman"/>
          <w:sz w:val="24"/>
          <w:szCs w:val="24"/>
          <w:lang w:val="uk-UA"/>
        </w:rPr>
        <w:t xml:space="preserve">                                                                         « ____ » ______________ 2024 року</w:t>
      </w:r>
    </w:p>
    <w:p>
      <w:pPr>
        <w:suppressAutoHyphens/>
        <w:spacing w:after="0" w:line="240" w:lineRule="atLeast"/>
        <w:ind w:left="235" w:right="-1153" w:firstLine="605"/>
        <w:jc w:val="both"/>
        <w:rPr>
          <w:rFonts w:ascii="Times New Roman" w:hAnsi="Times New Roman" w:cs="Times New Roman"/>
          <w:b/>
          <w:bCs/>
          <w:sz w:val="24"/>
          <w:szCs w:val="24"/>
          <w:lang w:val="uk-UA"/>
        </w:rPr>
      </w:pPr>
    </w:p>
    <w:p>
      <w:pPr>
        <w:suppressAutoHyphens/>
        <w:spacing w:after="0" w:line="240" w:lineRule="atLeast"/>
        <w:ind w:left="235" w:right="-1256" w:firstLine="60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Державна податкова служба України, в особі </w:t>
      </w:r>
      <w:r>
        <w:rPr>
          <w:rFonts w:ascii="Times New Roman" w:hAnsi="Times New Roman" w:cs="Times New Roman"/>
          <w:color w:val="000000"/>
          <w:sz w:val="24"/>
          <w:szCs w:val="24"/>
          <w:lang w:val="uk-UA"/>
        </w:rPr>
        <w:t xml:space="preserve">в. о. начальника </w:t>
      </w:r>
      <w:r>
        <w:rPr>
          <w:rFonts w:ascii="Times New Roman" w:hAnsi="Times New Roman" w:cs="Times New Roman"/>
          <w:b/>
          <w:bCs/>
          <w:color w:val="000000"/>
          <w:sz w:val="24"/>
          <w:szCs w:val="24"/>
          <w:lang w:val="uk-UA"/>
        </w:rPr>
        <w:t>Головного управління ДПС у Вінницькій області</w:t>
      </w:r>
      <w:r>
        <w:rPr>
          <w:rFonts w:ascii="Times New Roman" w:hAnsi="Times New Roman" w:cs="Times New Roman"/>
          <w:color w:val="000000"/>
          <w:sz w:val="24"/>
          <w:szCs w:val="24"/>
          <w:lang w:val="uk-UA"/>
        </w:rPr>
        <w:t xml:space="preserve"> Домерат Оксани Анатоліївни </w:t>
      </w:r>
      <w:r>
        <w:rPr>
          <w:rFonts w:ascii="Times New Roman" w:hAnsi="Times New Roman" w:cs="Times New Roman"/>
          <w:sz w:val="24"/>
          <w:szCs w:val="24"/>
          <w:lang w:val="uk-UA"/>
        </w:rPr>
        <w:t xml:space="preserve">(далі – Замовник), </w:t>
      </w:r>
      <w:r>
        <w:rPr>
          <w:rFonts w:ascii="Times New Roman" w:hAnsi="Times New Roman" w:cs="Times New Roman"/>
          <w:color w:val="000000"/>
          <w:sz w:val="24"/>
          <w:szCs w:val="24"/>
          <w:lang w:val="uk-UA"/>
        </w:rPr>
        <w:t>яка діє на підставі Положення про ГУ ДПС у Вінницькій області, затвердженого наказом ДПС від 12.11.2020 № 643, та довіреності № 4/99-00-10-01-01-23 від 01.01.2024 р.</w:t>
      </w:r>
      <w:r>
        <w:rPr>
          <w:rFonts w:ascii="Times New Roman" w:hAnsi="Times New Roman" w:cs="Times New Roman"/>
          <w:sz w:val="24"/>
          <w:szCs w:val="24"/>
          <w:lang w:val="uk-UA"/>
        </w:rPr>
        <w:t xml:space="preserve">, з однієї сторони, та </w:t>
      </w:r>
    </w:p>
    <w:p>
      <w:pPr>
        <w:suppressAutoHyphens/>
        <w:spacing w:after="0" w:line="240" w:lineRule="atLeast"/>
        <w:ind w:left="235" w:right="-1256" w:firstLine="602"/>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 в особі ___________, який діє на підставі _________, (далі – Виконавець), разом – Сторони, а окремо – Сторона, уклали цей договір (далі – Договір), про таке:</w:t>
      </w:r>
    </w:p>
    <w:p>
      <w:pPr>
        <w:suppressAutoHyphens/>
        <w:spacing w:after="0" w:line="240" w:lineRule="atLeast"/>
        <w:ind w:left="235" w:right="-1256" w:firstLine="602"/>
        <w:jc w:val="both"/>
        <w:rPr>
          <w:rFonts w:ascii="Times New Roman" w:hAnsi="Times New Roman" w:cs="Times New Roman"/>
          <w:sz w:val="24"/>
          <w:szCs w:val="24"/>
          <w:lang w:val="uk-UA"/>
        </w:rPr>
      </w:pPr>
    </w:p>
    <w:p>
      <w:pPr>
        <w:numPr>
          <w:ilvl w:val="0"/>
          <w:numId w:val="1"/>
        </w:numPr>
        <w:suppressAutoHyphens/>
        <w:spacing w:after="0" w:line="240" w:lineRule="atLeast"/>
        <w:ind w:left="235" w:right="-1256" w:firstLine="60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ПРЕДМЕТ ДОГОВОРУ</w:t>
      </w:r>
    </w:p>
    <w:p>
      <w:pPr>
        <w:suppressAutoHyphens/>
        <w:spacing w:after="0" w:line="240" w:lineRule="atLeast"/>
        <w:ind w:left="218" w:right="-1256" w:firstLine="63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Відповідно до цього Договору Виконавець зобов’язується надати Замовнику </w:t>
      </w:r>
      <w:r>
        <w:rPr>
          <w:rFonts w:ascii="Times New Roman" w:hAnsi="Times New Roman" w:cs="Times New Roman"/>
          <w:b/>
          <w:bCs/>
          <w:sz w:val="24"/>
          <w:szCs w:val="24"/>
          <w:lang w:val="uk-UA"/>
        </w:rPr>
        <w:t xml:space="preserve">Послугу з технічного обслуговування ліфтів </w:t>
      </w:r>
      <w:r>
        <w:rPr>
          <w:rFonts w:ascii="Times New Roman" w:hAnsi="Times New Roman" w:cs="Times New Roman"/>
          <w:sz w:val="24"/>
          <w:szCs w:val="24"/>
          <w:lang w:val="uk-UA"/>
        </w:rPr>
        <w:t xml:space="preserve">відповідно до коду </w:t>
      </w:r>
      <w:r>
        <w:rPr>
          <w:rFonts w:ascii="Times New Roman" w:hAnsi="Times New Roman" w:cs="Times New Roman"/>
          <w:b/>
          <w:bCs/>
          <w:sz w:val="24"/>
          <w:szCs w:val="24"/>
          <w:lang w:val="uk-UA"/>
        </w:rPr>
        <w:t xml:space="preserve">ДК 021:2015 – </w:t>
      </w:r>
      <w:r>
        <w:rPr>
          <w:rFonts w:ascii="Times New Roman" w:hAnsi="Times New Roman" w:cs="Times New Roman"/>
          <w:b/>
          <w:bCs/>
          <w:sz w:val="24"/>
          <w:szCs w:val="24"/>
        </w:rPr>
        <w:t>50750000-7</w:t>
      </w:r>
      <w:r>
        <w:rPr>
          <w:rFonts w:ascii="Times New Roman" w:hAnsi="Times New Roman" w:cs="Times New Roman"/>
          <w:b/>
          <w:bCs/>
          <w:sz w:val="24"/>
          <w:szCs w:val="24"/>
          <w:lang w:val="uk-UA"/>
        </w:rPr>
        <w:t xml:space="preserve"> </w:t>
      </w:r>
      <w:r>
        <w:rPr>
          <w:rFonts w:ascii="Times New Roman" w:hAnsi="Times New Roman" w:cs="Times New Roman"/>
          <w:b/>
          <w:bCs/>
          <w:sz w:val="24"/>
          <w:szCs w:val="24"/>
        </w:rPr>
        <w:t>«Послуги з технічного обслуговування ліфтів»</w:t>
      </w:r>
      <w:r>
        <w:rPr>
          <w:rFonts w:ascii="Times New Roman" w:hAnsi="Times New Roman" w:cs="Times New Roman"/>
          <w:sz w:val="24"/>
          <w:szCs w:val="24"/>
          <w:lang w:val="uk-UA"/>
        </w:rPr>
        <w:t xml:space="preserve"> (далі – Послуги), а Замовник – прийняти й оплатити надані Послуги в порядку та на умовах, визначених цим Договором.</w:t>
      </w:r>
    </w:p>
    <w:p>
      <w:pPr>
        <w:suppressAutoHyphens/>
        <w:spacing w:after="0" w:line="240" w:lineRule="atLeast"/>
        <w:ind w:left="218" w:right="-1256" w:firstLine="636"/>
        <w:jc w:val="both"/>
        <w:rPr>
          <w:rFonts w:ascii="Times New Roman" w:hAnsi="Times New Roman" w:cs="Times New Roman"/>
          <w:sz w:val="24"/>
          <w:szCs w:val="24"/>
          <w:lang w:val="uk-UA"/>
        </w:rPr>
      </w:pPr>
      <w:r>
        <w:rPr>
          <w:rFonts w:ascii="Times New Roman" w:hAnsi="Times New Roman" w:cs="Times New Roman"/>
          <w:sz w:val="24"/>
          <w:szCs w:val="24"/>
          <w:lang w:val="uk-UA"/>
        </w:rPr>
        <w:t>1.2. Відповідно до форми технічного обслуговування (далі - ТО) (повне, часткове, калькуляційне) встановлено відповідний обсяг послуг щодо Обладнання згідно з Технічними вимогами (Додаток № 2 до Договору).</w:t>
      </w:r>
    </w:p>
    <w:p>
      <w:pPr>
        <w:suppressAutoHyphens/>
        <w:spacing w:after="0" w:line="240" w:lineRule="atLeast"/>
        <w:ind w:left="218" w:right="-1256" w:firstLine="636"/>
        <w:jc w:val="both"/>
        <w:rPr>
          <w:rFonts w:ascii="Times New Roman" w:hAnsi="Times New Roman" w:cs="Times New Roman"/>
          <w:sz w:val="24"/>
          <w:szCs w:val="24"/>
          <w:lang w:val="uk-UA"/>
        </w:rPr>
      </w:pPr>
      <w:r>
        <w:rPr>
          <w:rFonts w:ascii="Times New Roman" w:hAnsi="Times New Roman" w:cs="Times New Roman"/>
          <w:sz w:val="24"/>
          <w:szCs w:val="24"/>
          <w:lang w:val="uk-UA"/>
        </w:rPr>
        <w:t>1.3. Обсяг наданих Послуг та ціна Договору можуть бути зменшені залежно від реального фінансування видатків Замовника.</w:t>
      </w:r>
    </w:p>
    <w:p>
      <w:pPr>
        <w:suppressAutoHyphens/>
        <w:spacing w:after="0" w:line="240" w:lineRule="atLeast"/>
        <w:ind w:left="218" w:right="-1256" w:firstLine="636"/>
        <w:jc w:val="both"/>
        <w:rPr>
          <w:rFonts w:ascii="Times New Roman" w:hAnsi="Times New Roman" w:cs="Times New Roman"/>
          <w:sz w:val="24"/>
          <w:szCs w:val="24"/>
          <w:lang w:val="uk-UA"/>
        </w:rPr>
      </w:pPr>
    </w:p>
    <w:p>
      <w:pPr>
        <w:suppressAutoHyphens/>
        <w:spacing w:after="0" w:line="240" w:lineRule="atLeast"/>
        <w:ind w:left="218" w:right="-1256" w:firstLine="638"/>
        <w:jc w:val="center"/>
        <w:rPr>
          <w:rFonts w:cs="Microsoft Sans Serif"/>
        </w:rPr>
      </w:pPr>
      <w:r>
        <w:rPr>
          <w:rFonts w:ascii="Times New Roman" w:hAnsi="Times New Roman" w:cs="Times New Roman"/>
          <w:b/>
          <w:bCs/>
          <w:sz w:val="24"/>
          <w:szCs w:val="24"/>
          <w:lang w:val="uk-UA"/>
        </w:rPr>
        <w:t>2. ЯКІСТЬ ПОСЛУГ</w:t>
      </w:r>
    </w:p>
    <w:p>
      <w:pPr>
        <w:suppressAutoHyphens/>
        <w:spacing w:after="0" w:line="240" w:lineRule="atLeast"/>
        <w:ind w:left="218" w:right="-1256" w:firstLine="636"/>
        <w:jc w:val="both"/>
        <w:rPr>
          <w:rFonts w:ascii="Times New Roman" w:hAnsi="Times New Roman" w:cs="Times New Roman"/>
          <w:sz w:val="24"/>
          <w:szCs w:val="24"/>
          <w:lang w:val="uk-UA"/>
        </w:rPr>
      </w:pPr>
      <w:r>
        <w:rPr>
          <w:rFonts w:ascii="Times New Roman" w:hAnsi="Times New Roman" w:cs="Times New Roman"/>
          <w:sz w:val="24"/>
          <w:szCs w:val="24"/>
          <w:lang w:val="uk-UA"/>
        </w:rPr>
        <w:t>2.1. Виконавець повинен надати Замовнику Послугу відповідно до Технічних вимог (Додаток № 2 до Договору),</w:t>
      </w:r>
    </w:p>
    <w:p>
      <w:pPr>
        <w:suppressAutoHyphens/>
        <w:spacing w:after="0" w:line="240" w:lineRule="atLeast"/>
        <w:ind w:left="218" w:right="-1256" w:firstLine="636"/>
        <w:jc w:val="both"/>
        <w:rPr>
          <w:rFonts w:ascii="Times New Roman" w:hAnsi="Times New Roman" w:cs="Times New Roman"/>
          <w:sz w:val="24"/>
          <w:szCs w:val="24"/>
          <w:lang w:val="uk-UA"/>
        </w:rPr>
      </w:pPr>
      <w:r>
        <w:rPr>
          <w:rFonts w:ascii="Times New Roman" w:hAnsi="Times New Roman" w:cs="Times New Roman"/>
          <w:sz w:val="24"/>
          <w:szCs w:val="24"/>
          <w:lang w:val="uk-UA"/>
        </w:rPr>
        <w:t>2.2. Виконавець несе повну відповідальність за якість використаних матеріалів та обладнання.</w:t>
      </w:r>
    </w:p>
    <w:p>
      <w:pPr>
        <w:suppressAutoHyphens/>
        <w:spacing w:after="0" w:line="240" w:lineRule="atLeast"/>
        <w:ind w:left="218" w:right="-1256" w:firstLine="636"/>
        <w:jc w:val="both"/>
        <w:rPr>
          <w:rFonts w:ascii="Times New Roman" w:hAnsi="Times New Roman" w:cs="Times New Roman"/>
          <w:sz w:val="24"/>
          <w:szCs w:val="24"/>
          <w:lang w:val="uk-UA"/>
        </w:rPr>
      </w:pPr>
      <w:r>
        <w:rPr>
          <w:rFonts w:ascii="Times New Roman" w:hAnsi="Times New Roman" w:cs="Times New Roman"/>
          <w:sz w:val="24"/>
          <w:szCs w:val="24"/>
          <w:lang w:val="uk-UA"/>
        </w:rPr>
        <w:t>2.3. Неякісно надані Послуги оформлюються актом виявлених недоліків і підлягають виправленню Виконавцем у строк погоджений із Замовником.</w:t>
      </w:r>
    </w:p>
    <w:p>
      <w:pPr>
        <w:suppressAutoHyphens/>
        <w:spacing w:after="0" w:line="240" w:lineRule="atLeast"/>
        <w:ind w:left="218" w:right="-1256" w:firstLine="636"/>
        <w:jc w:val="both"/>
        <w:rPr>
          <w:rFonts w:ascii="Times New Roman" w:hAnsi="Times New Roman" w:cs="Times New Roman"/>
          <w:sz w:val="24"/>
          <w:szCs w:val="24"/>
          <w:lang w:val="uk-UA"/>
        </w:rPr>
      </w:pPr>
      <w:r>
        <w:rPr>
          <w:rFonts w:ascii="Times New Roman" w:hAnsi="Times New Roman" w:cs="Times New Roman"/>
          <w:sz w:val="24"/>
          <w:szCs w:val="24"/>
          <w:lang w:val="uk-UA"/>
        </w:rPr>
        <w:t>2.4. Гарантійний строк складає 1 (один) рік з дати підписання Акта приймання-передачі наданих Послуг (далі – Акт).</w:t>
      </w:r>
    </w:p>
    <w:p>
      <w:pPr>
        <w:suppressAutoHyphens/>
        <w:spacing w:after="0" w:line="240" w:lineRule="atLeast"/>
        <w:ind w:left="218" w:right="-1256" w:firstLine="636"/>
        <w:jc w:val="both"/>
        <w:rPr>
          <w:rFonts w:ascii="Times New Roman" w:hAnsi="Times New Roman" w:cs="Times New Roman"/>
          <w:sz w:val="24"/>
          <w:szCs w:val="24"/>
          <w:lang w:val="uk-UA"/>
        </w:rPr>
      </w:pPr>
    </w:p>
    <w:p>
      <w:pPr>
        <w:suppressAutoHyphens/>
        <w:spacing w:after="0" w:line="240" w:lineRule="atLeast"/>
        <w:ind w:left="218" w:right="-1256" w:firstLine="638"/>
        <w:jc w:val="center"/>
        <w:rPr>
          <w:rFonts w:cs="Microsoft Sans Serif"/>
        </w:rPr>
      </w:pPr>
      <w:r>
        <w:rPr>
          <w:rFonts w:ascii="Times New Roman" w:hAnsi="Times New Roman" w:cs="Times New Roman"/>
          <w:b/>
          <w:bCs/>
          <w:sz w:val="24"/>
          <w:szCs w:val="24"/>
          <w:lang w:val="uk-UA"/>
        </w:rPr>
        <w:t>3. ЦІНА ДОГОВОРУ</w:t>
      </w:r>
    </w:p>
    <w:p>
      <w:pPr>
        <w:suppressAutoHyphens/>
        <w:spacing w:after="0" w:line="240" w:lineRule="atLeast"/>
        <w:ind w:left="218" w:right="-1256" w:firstLine="636"/>
        <w:jc w:val="both"/>
        <w:rPr>
          <w:rFonts w:ascii="Times New Roman" w:hAnsi="Times New Roman" w:cs="Times New Roman"/>
          <w:b/>
          <w:bCs/>
          <w:spacing w:val="-2"/>
          <w:sz w:val="24"/>
          <w:szCs w:val="24"/>
          <w:lang w:val="uk-UA"/>
        </w:rPr>
      </w:pPr>
      <w:r>
        <w:rPr>
          <w:rFonts w:ascii="Times New Roman" w:hAnsi="Times New Roman" w:cs="Times New Roman"/>
          <w:sz w:val="24"/>
          <w:szCs w:val="24"/>
          <w:lang w:val="uk-UA"/>
        </w:rPr>
        <w:t xml:space="preserve">3.1. </w:t>
      </w:r>
      <w:r>
        <w:rPr>
          <w:rFonts w:ascii="Times New Roman" w:hAnsi="Times New Roman" w:cs="Times New Roman"/>
          <w:spacing w:val="-2"/>
          <w:sz w:val="24"/>
          <w:szCs w:val="24"/>
          <w:lang w:val="uk-UA"/>
        </w:rPr>
        <w:t xml:space="preserve">Ціна цього Договору становить: </w:t>
      </w:r>
      <w:r>
        <w:rPr>
          <w:rFonts w:ascii="Times New Roman" w:hAnsi="Times New Roman" w:cs="Times New Roman"/>
          <w:b/>
          <w:bCs/>
          <w:spacing w:val="-2"/>
          <w:sz w:val="24"/>
          <w:szCs w:val="24"/>
          <w:lang w:val="uk-UA"/>
        </w:rPr>
        <w:t>_____________ грн. (_______грн. _______коп.), у тому числі ПДВ – ___________ грн. (______грн. _____ коп.).</w:t>
      </w:r>
    </w:p>
    <w:p>
      <w:pPr>
        <w:suppressAutoHyphens/>
        <w:spacing w:after="0" w:line="240" w:lineRule="atLeast"/>
        <w:ind w:left="218" w:right="-1256" w:firstLine="636"/>
        <w:jc w:val="both"/>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 xml:space="preserve">3.2. Ціна Договору включає вартість заміни та/або ремонту деталей та/або запасних частин відповідно до форми ТО. </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3.3. Джерелом фінансування витрат за цим Договором є кошти загального та спеціального фондів Державного бюджету України, КПКВ </w:t>
      </w:r>
      <w:r>
        <w:rPr>
          <w:rFonts w:ascii="Times New Roman" w:hAnsi="Times New Roman" w:cs="Times New Roman"/>
          <w:sz w:val="24"/>
          <w:szCs w:val="24"/>
        </w:rPr>
        <w:t>3507010</w:t>
      </w:r>
      <w:r>
        <w:rPr>
          <w:rFonts w:ascii="Times New Roman" w:hAnsi="Times New Roman" w:cs="Times New Roman"/>
          <w:sz w:val="24"/>
          <w:szCs w:val="24"/>
          <w:lang w:val="uk-UA"/>
        </w:rPr>
        <w:t xml:space="preserve">, КЕКВ 2240. </w:t>
      </w:r>
    </w:p>
    <w:p>
      <w:pPr>
        <w:suppressAutoHyphens/>
        <w:spacing w:after="0" w:line="240" w:lineRule="atLeast"/>
        <w:ind w:left="235" w:right="-1153" w:firstLine="592"/>
        <w:jc w:val="both"/>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 xml:space="preserve">3.4. Ціна за послуги встановлюються у </w:t>
      </w:r>
      <w:r>
        <w:rPr>
          <w:rFonts w:ascii="Times New Roman" w:hAnsi="Times New Roman" w:cs="Times New Roman"/>
          <w:sz w:val="24"/>
          <w:szCs w:val="24"/>
          <w:lang w:val="uk-UA"/>
        </w:rPr>
        <w:t xml:space="preserve">гривні. </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3.5. Ціна цього Договору може бути зменшена за взаємною згодою Сторін шляхом укладання додаткової угоди до цього Договору, що є невід’ємною частиною Договору зокрема, але не виключно, з підстав реального фінансування Замовника.</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3.6. До ціни Договору включені всі витрати Виконавця пов’язані з наданням Послуг.</w:t>
      </w:r>
    </w:p>
    <w:p>
      <w:pPr>
        <w:suppressAutoHyphens/>
        <w:spacing w:after="0" w:line="240" w:lineRule="atLeast"/>
        <w:ind w:left="235" w:right="-1153" w:firstLine="602"/>
        <w:jc w:val="both"/>
        <w:rPr>
          <w:rFonts w:ascii="Times New Roman" w:hAnsi="Times New Roman" w:cs="Times New Roman"/>
          <w:sz w:val="24"/>
          <w:szCs w:val="24"/>
          <w:lang w:val="uk-UA"/>
        </w:rPr>
      </w:pPr>
    </w:p>
    <w:p>
      <w:pPr>
        <w:suppressAutoHyphens/>
        <w:spacing w:after="0" w:line="240" w:lineRule="atLeast"/>
        <w:ind w:left="235" w:right="-1153" w:firstLine="60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4. НАДАННЯ ПОСЛУГ</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4.1. При виконанні умов Договору Сторони керуються: «Правилами будови і безпечної експлуатації ліфтів» (ПББЕЛ), «Правилами будови електроустановок» (ПБЕ), «Правилами технічної експлуатації електроустановок споживачів» (ПТЕЕС), «Правилами техніки безпеки» (ПТБ), Законом України «Про охорону праці» та іншими нормативно-правовими актами, а також положеннями Інструкції з експлуатації від виробника.</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4.2. Послуга за цим Договором надається у строк з 16.02..2024 по 31.12.2024.</w:t>
      </w:r>
    </w:p>
    <w:p>
      <w:pPr>
        <w:tabs>
          <w:tab w:val="left" w:pos="733"/>
        </w:tabs>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4.3. Місце надання Послуг: м. Вінниця, вул. Костянтина Василенка, 21.</w:t>
      </w:r>
    </w:p>
    <w:p>
      <w:pPr>
        <w:tabs>
          <w:tab w:val="left" w:pos="733"/>
        </w:tabs>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4.4. За результатами надання Послуг у відповідному місяці, але в будь-якому випадку не пізніше 1 (першого) числа місяця наступного за звітним, Виконавець надає Замовнику два примірники Акта приймання-передачі послуг, підписані уповноваженим представником Виконавця.</w:t>
      </w:r>
    </w:p>
    <w:p>
      <w:pPr>
        <w:tabs>
          <w:tab w:val="left" w:pos="733"/>
        </w:tabs>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4.5. Сторони не пізніше ніж через 2 (два) календарні дні після підписання цього Договору призначають повноважних представників, визначають коло їх повноважень і інформують про це одна одну. При заміні своїх представників або при перегляді їх повноважень Сторони зобов’язані інформувати про це одна одну.</w:t>
      </w:r>
    </w:p>
    <w:p>
      <w:pPr>
        <w:tabs>
          <w:tab w:val="left" w:pos="733"/>
        </w:tabs>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4.6. Виконавець, надаючи Послуги, не повинен створювати будь-яких перешкод для безперебійної та належної роботи Замовника.</w:t>
      </w:r>
    </w:p>
    <w:p>
      <w:pPr>
        <w:tabs>
          <w:tab w:val="left" w:pos="733"/>
        </w:tabs>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4.7. Виконавець, за необхідності та за умови попереднього узгодження, має право у процесі надання Послуг використовувати приміщення Замовника, для розміщення своїх працівників, та/або для складування матеріалів, які використовуються для надання Послуг.</w:t>
      </w:r>
    </w:p>
    <w:p>
      <w:pPr>
        <w:tabs>
          <w:tab w:val="left" w:pos="733"/>
        </w:tabs>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4.8. У випадку настання умов, визначених в пункті  1.3. Договору, Акт складається за фактично надані Послуги.</w:t>
      </w:r>
      <w:bookmarkStart w:id="0" w:name="bookmark19"/>
      <w:bookmarkEnd w:id="0"/>
      <w:bookmarkStart w:id="1" w:name="bookmark20"/>
      <w:bookmarkEnd w:id="1"/>
    </w:p>
    <w:p>
      <w:pPr>
        <w:tabs>
          <w:tab w:val="left" w:pos="733"/>
        </w:tabs>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4.9. Замовник зобов’язаний розглянути, підписати та повернути Виконавцю один примірник Акта або надати обґрунтовану письмову відмову від його підписання протягом 5 (п’яти) робочих днів з дати його отримання. Після усунення обґрунтованих зауважень, Виконавець надає відкориговані Акти Замовнику повторно.</w:t>
      </w:r>
      <w:bookmarkStart w:id="2" w:name="bookmark21"/>
      <w:bookmarkEnd w:id="2"/>
    </w:p>
    <w:p>
      <w:pPr>
        <w:tabs>
          <w:tab w:val="left" w:pos="733"/>
        </w:tabs>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4.10. Сторони погодили, що у разі неповернення підписаного Акта Виконавцю або ненадання обґрунтованих заперечень у визначений Договором строк, Послуги вважаються наданими належним чином у повному обсязі та прийнятими Замовником у повному обсязі без будь-яких зауважень.</w:t>
      </w:r>
    </w:p>
    <w:p>
      <w:pPr>
        <w:tabs>
          <w:tab w:val="left" w:pos="733"/>
        </w:tabs>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4.11. У випадку виявлення недоліків, обумовлених наданням Послуг з порушенням діючих норм та правил чи умов цього Договору, Сторонами оформлюється акт виявлених недоліків, з зазначенням термінів їх усунення. Усунення вказаних недоліків проводиться за вимогою Замовника Виконавцем за його рахунок.</w:t>
      </w:r>
    </w:p>
    <w:p>
      <w:pPr>
        <w:tabs>
          <w:tab w:val="left" w:pos="733"/>
        </w:tabs>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4.12. Виконавець повинен невідкладно, але не пізніше ніж на третій робочий день в письмовій формі інформувати Замовника про можливі затримки чи призупинення надання Послуг, що виникли із вини Замовника. Замовник зобов’язаний вжити залежних від нього заходів для усунення таких обставин.</w:t>
      </w:r>
      <w:bookmarkStart w:id="3" w:name="bookmark22"/>
      <w:bookmarkEnd w:id="3"/>
    </w:p>
    <w:p>
      <w:pPr>
        <w:tabs>
          <w:tab w:val="left" w:pos="733"/>
        </w:tabs>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4.13. </w:t>
      </w:r>
      <w:r>
        <w:rPr>
          <w:rFonts w:ascii="Times New Roman" w:hAnsi="Times New Roman" w:cs="Times New Roman"/>
          <w:sz w:val="24"/>
          <w:szCs w:val="24"/>
        </w:rPr>
        <w:t>Виконавець має право залучати до надання Послуг за цим Договором інших осіб (субпідрядників), залишаючись відповідальним перед Замовником за результат їхньої роботи</w:t>
      </w:r>
    </w:p>
    <w:p>
      <w:pPr>
        <w:tabs>
          <w:tab w:val="left" w:pos="733"/>
        </w:tabs>
        <w:suppressAutoHyphens/>
        <w:spacing w:after="0" w:line="240" w:lineRule="atLeast"/>
        <w:ind w:left="235" w:right="-1153" w:firstLine="602"/>
        <w:jc w:val="both"/>
        <w:rPr>
          <w:rFonts w:ascii="Times New Roman" w:hAnsi="Times New Roman" w:cs="Times New Roman"/>
          <w:b/>
          <w:bCs/>
          <w:sz w:val="24"/>
          <w:szCs w:val="24"/>
          <w:lang w:val="uk-UA"/>
        </w:rPr>
      </w:pPr>
    </w:p>
    <w:p>
      <w:pPr>
        <w:suppressAutoHyphens/>
        <w:spacing w:after="0" w:line="240" w:lineRule="atLeast"/>
        <w:ind w:left="235" w:right="-1153" w:firstLine="60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5. ПОРЯДОК РОЗРАХУНКІВ</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 Розрахунки за надання Послуг здійснюється за умови наявності коштів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на реєстраційному рахунку Замовника.</w:t>
      </w:r>
    </w:p>
    <w:p>
      <w:pPr>
        <w:suppressAutoHyphens/>
        <w:spacing w:after="0" w:line="240" w:lineRule="atLeast"/>
        <w:ind w:left="235" w:right="-1153" w:firstLine="597"/>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5.2. Оплата здійснюється з урахуванням фінансового ресурсу Єдиного казначейського рахунка.</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5.3. Розрахунок за фактично надані Послуги здійснюються у гривні у безготівковій формі шляхом перерахування грошових коштів на розрахунковий рахунок Виконавця вказаний у розділі 13 цього Договору на підставі Акта протягом 10 (десяти) банківських днів з дня надходження коштів з державного бюджету на зазначені цілі на реєстраційний рахунок Замовника.</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5.4. У разі затримки у виділенні бюджетних асигнувань розрахунки здійснюються протягом 10 (десяти)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5.5. </w:t>
      </w:r>
      <w:r>
        <w:rPr>
          <w:rFonts w:ascii="Times New Roman" w:hAnsi="Times New Roman" w:cs="Times New Roman"/>
          <w:sz w:val="24"/>
          <w:szCs w:val="24"/>
        </w:rPr>
        <w:t>За письмовим зверненням однієї Сторони інша Сторона зобов’язана провести звірку фактично наданих Послуг та розрахунків за них протягом 5 (п’яти) робочих днів з моменту отримання відповідного Акту.</w:t>
      </w:r>
    </w:p>
    <w:p>
      <w:pPr>
        <w:suppressAutoHyphens/>
        <w:spacing w:after="0" w:line="240" w:lineRule="atLeast"/>
        <w:ind w:left="235" w:right="-1153" w:firstLine="605"/>
        <w:jc w:val="center"/>
        <w:rPr>
          <w:rFonts w:ascii="Times New Roman" w:hAnsi="Times New Roman" w:cs="Times New Roman"/>
          <w:b/>
          <w:bCs/>
          <w:sz w:val="24"/>
          <w:szCs w:val="24"/>
          <w:lang w:val="uk-UA"/>
        </w:rPr>
      </w:pPr>
    </w:p>
    <w:p>
      <w:pPr>
        <w:suppressAutoHyphens/>
        <w:spacing w:after="0" w:line="240" w:lineRule="atLeast"/>
        <w:ind w:left="235" w:right="-1153" w:firstLine="60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 ПРАВА ТА ОБОВ’ЯЗКИ СТОРІН</w:t>
      </w:r>
    </w:p>
    <w:p>
      <w:pPr>
        <w:tabs>
          <w:tab w:val="left" w:pos="720"/>
        </w:tabs>
        <w:suppressAutoHyphens/>
        <w:spacing w:after="0" w:line="240" w:lineRule="atLeast"/>
        <w:ind w:left="235" w:right="-1153" w:firstLine="605"/>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6.1. Замовник зобов’язаний:</w:t>
      </w:r>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6.1.1. Забезпечувати збереження Обладнання, виконувати вимоги законодавства та всебічно сприяти Виконавцю в наданні Послуг за цим Договором.</w:t>
      </w:r>
      <w:bookmarkStart w:id="4" w:name="bookmark52"/>
      <w:bookmarkEnd w:id="4"/>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6.1.2. Утримувати в належному стані електромережу та захисні пристрої Обладнання і забезпечити якісну та безперебійну подачу електроенергії на його головний ввідний пристрій, а також нормативну освітленість посадкових майданчиків, машинних приміщень, переходів та підходів до Обладнання.</w:t>
      </w:r>
      <w:bookmarkStart w:id="5" w:name="bookmark53"/>
      <w:bookmarkEnd w:id="5"/>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6.1.3. Забезпечити експлуатацію Обладнання відповідно до його призначення і вантажопідйомності, а також із зазначеними в паспорті та технічній документації ліфта умовами його експлуатації забезпечувати в них відповідний температурний режим, невідкладно усувати вологість та причини її виникнення в машинних приміщеннях, шахтах і приямках Обладнання тощо.</w:t>
      </w:r>
      <w:bookmarkStart w:id="6" w:name="bookmark54"/>
      <w:bookmarkEnd w:id="6"/>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6.1.4. Своєчасно виконувати будівельні та ремонтні роботи дахів, машинних приміщень, сходових клітин, зовнішнє фарбування шахт ліфтів та ремонт інших елементів будівельної частини Обладнання у відповідності до вимог законодавства та нормативних документів.</w:t>
      </w:r>
      <w:bookmarkStart w:id="7" w:name="bookmark55"/>
      <w:bookmarkEnd w:id="7"/>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6.1.5. Забезпечувати можливість безперешкодного доступу Виконавця в машинне, блочне приміщення та до інших елементів Обладнання. Не утримувати в шахті, машинних та блочних приміщеннях і на підходах до них сторонніх предметів.</w:t>
      </w:r>
      <w:bookmarkStart w:id="8" w:name="bookmark56"/>
      <w:bookmarkEnd w:id="8"/>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6.1.6. Вживати заходи з недопущення в машинні (блочні) приміщення та шахту Обладнання сторонніх осіб. За необхідності виконання робіт в зазначених приміщеннях іншими особами Замовник зобов’язаний узгодити це з Виконавцем.</w:t>
      </w:r>
      <w:bookmarkStart w:id="9" w:name="bookmark57"/>
      <w:bookmarkEnd w:id="9"/>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6.1.7. Зупиняти роботу Обладнання, якщо його технічний стан не забезпечує безпечну роботу, а також вживати невідкладних заходів щодо усунення обставин або причин їх виникнення, які можуть спричинити пошкодження Обладнання або травмування пасажирів (включаючи зупинку Обладнання). В таких випадках Замовник зобов’язаний негайно викликати Виконавця на об’єкт.</w:t>
      </w:r>
      <w:bookmarkStart w:id="10" w:name="bookmark58"/>
      <w:bookmarkEnd w:id="10"/>
      <w:bookmarkStart w:id="11" w:name="bookmark59"/>
      <w:bookmarkEnd w:id="11"/>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6.1.8. Своєчасно та в повному обсязі оплачувати Виконавцю вартість наданих Послуг, на умовах Договору.</w:t>
      </w:r>
      <w:bookmarkStart w:id="12" w:name="bookmark60"/>
      <w:bookmarkEnd w:id="12"/>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6.1.9. Інформувати Виконавця про неналежне або не в повному обсязі надані Послуги за цим Договором, виявлені недоліки в роботі Обладнання, а також у разі його аварійної зупинки шляхом невідкладного повідомлення за телефоном Диспетчерської служби.</w:t>
      </w:r>
      <w:bookmarkStart w:id="13" w:name="bookmark61"/>
      <w:bookmarkEnd w:id="13"/>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6.1.10. У разі виявлення обставин, які можуть спричинити пошкодження Обладнання та травмування пасажирів, негайно виконати необхідні заходи по запобіганню їх виникненню, включаючи зупинення роботи Обладнання з обов’язковим повідомленням про такий факт Виконавця.</w:t>
      </w:r>
      <w:bookmarkStart w:id="14" w:name="bookmark62"/>
      <w:bookmarkEnd w:id="14"/>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6.1.11. Забезпечувати збереження паспорта Обладнання та журналу ТО, а також доступ представника Виконавця для внесення відповідних записів до них відповідно до вимог законодавства.</w:t>
      </w:r>
    </w:p>
    <w:p>
      <w:pPr>
        <w:suppressAutoHyphens/>
        <w:spacing w:after="0" w:line="240" w:lineRule="atLeast"/>
        <w:ind w:left="235" w:right="-1153" w:firstLine="605"/>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6.2. Замовник має право:</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6.2.1. Достроково розірвати цей Договір в односторонньому порядку у разі невиконання або неналежного виконання зобов’язань Виконавцем, попередньо повідомивши його про це у письмовій формі за 10 (десять) календарних днів до дати розірвання Договору.</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6.2.2. Зменшувати обсяг надання Послуг та ціну Договору залежно від реального фінансування видатків.</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6.2.3. Повернути Акт Виконавцю без здійснення оплати в разі неналежного його оформлення, зокрема, але не виключно, за відсутності підписів уповноважених осіб Виконавця.</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6.2.4. Вимагати від Виконавця усунення за його рахунок недоліків визначених Замовником стосовно Послуг що надаються відповідно до цього Договору.</w:t>
      </w:r>
    </w:p>
    <w:p>
      <w:pPr>
        <w:tabs>
          <w:tab w:val="left" w:pos="720"/>
        </w:tabs>
        <w:suppressAutoHyphens/>
        <w:spacing w:after="0" w:line="240" w:lineRule="atLeast"/>
        <w:ind w:left="235" w:right="-1153" w:firstLine="605"/>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6.3. Виконавець зобов’язаний:</w:t>
      </w:r>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6.3.1. Забезпечити надання Послуги у строки, встановлені цим Договором.</w:t>
      </w:r>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6.3.2. Забезпечити надання Послуги, якість якої відповідає умовам, що встановлені цим Договором та іншими нормативними документами.</w:t>
      </w:r>
    </w:p>
    <w:p>
      <w:pPr>
        <w:tabs>
          <w:tab w:val="left" w:pos="720"/>
        </w:tabs>
        <w:suppressAutoHyphens/>
        <w:spacing w:after="0" w:line="240" w:lineRule="atLeast"/>
        <w:ind w:left="235" w:right="-1153" w:firstLine="605"/>
        <w:jc w:val="both"/>
        <w:rPr>
          <w:rFonts w:ascii="Times New Roman" w:hAnsi="Times New Roman" w:cs="Times New Roman"/>
          <w:color w:val="FF0000"/>
          <w:sz w:val="24"/>
          <w:szCs w:val="24"/>
          <w:lang w:val="uk-UA"/>
        </w:rPr>
      </w:pPr>
      <w:r>
        <w:rPr>
          <w:rFonts w:ascii="Times New Roman" w:hAnsi="Times New Roman" w:cs="Times New Roman"/>
          <w:sz w:val="24"/>
          <w:szCs w:val="24"/>
          <w:lang w:val="uk-UA"/>
        </w:rPr>
        <w:t>6.3.3. Надати Замовнику після надання Послуг Акт не пізніше 31.12.2024.</w:t>
      </w:r>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6.3.4. Надавати Послуги відповідно до вимог законодавства та умов Договору та в обсязі, визначеному Договором.</w:t>
      </w:r>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6.3.5. Забезпечити надання Послуг за цим Договором відповідно навченим і атестованим персоналом.</w:t>
      </w:r>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6.3.6. Призначати наказом осіб, відповідальних за організацію робіт з ТО і справний стан Обладнання.</w:t>
      </w:r>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6.3.7. Своєчасно готувати Обладнання до періодичного (чергового) або позачергового технічного огляду, вносити відповідні записи, які відносяться до обов’язків Виконавця, до паспортів Обладнання та журналів ТО.</w:t>
      </w:r>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6.3.8. Брати участь у розгляді аварійних ситуацій на Обладнанні.</w:t>
      </w:r>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6.3.9. Повідомляти Замовника та негайно зупиняти роботу Обладнання у разі виявлення несправностей, які можуть привести до аварії або нещасного випадку, а також у разі грубих порушень Замовником вимог безпечної експлуатації Обладнання та/або порушень пасажирами чи персоналом Замовника Правил користування ліфтами, що можуть призвести до їх травмування. За результатами зупинки Обладнання Виконавець невідкладно повідомляє представника Замовника про обставини зупинки Обладнання, складає з представником Замовника (у разі його прибуття) акт про факт такої зупинки, в якому вказуються виявлені порушення або підстави зупинки, а також рекомендації щодо відновлення належної роботи Обладнання, та надає його на підпис представника Замовника, який зобов’язаний підписати такий акт про факт зупинки.</w:t>
      </w:r>
      <w:bookmarkStart w:id="15" w:name="bookmark44"/>
      <w:bookmarkEnd w:id="15"/>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6.3.10. Дотримуватись вимог правил пожежної безпеки захисту навколишнього середовища, чистоти і культури виробництва при виконанні цього Договору.</w:t>
      </w:r>
      <w:bookmarkStart w:id="16" w:name="bookmark45"/>
      <w:bookmarkEnd w:id="16"/>
    </w:p>
    <w:p>
      <w:pPr>
        <w:tabs>
          <w:tab w:val="left" w:pos="720"/>
        </w:tabs>
        <w:suppressAutoHyphens/>
        <w:spacing w:after="0" w:line="240" w:lineRule="atLeast"/>
        <w:ind w:left="235" w:right="-1153" w:firstLine="605"/>
        <w:jc w:val="both"/>
        <w:rPr>
          <w:rFonts w:ascii="Times New Roman" w:hAnsi="Times New Roman" w:cs="Times New Roman"/>
          <w:sz w:val="24"/>
          <w:szCs w:val="24"/>
          <w:lang w:val="uk-UA"/>
        </w:rPr>
      </w:pPr>
      <w:r>
        <w:rPr>
          <w:rFonts w:ascii="Times New Roman" w:hAnsi="Times New Roman" w:cs="Times New Roman"/>
          <w:sz w:val="24"/>
          <w:szCs w:val="24"/>
          <w:lang w:val="uk-UA"/>
        </w:rPr>
        <w:t>6.3.11. Інформувати Замовника про технічний стан та причини непланових зупинок Обладнання, за власною ініціативою або за зверненням Замовника складати акти технічного стану або дефектний акт Обладнання для його ремонту та/або модернізації (включаючи перелік Робіт та витратних матеріалів або запасних частин), вносити пропозиції щодо покращення технічного стану, а також про необхідність і строки проведення експертних обстежень тощо.</w:t>
      </w:r>
      <w:bookmarkStart w:id="17" w:name="bookmark46"/>
      <w:bookmarkEnd w:id="17"/>
    </w:p>
    <w:p>
      <w:pPr>
        <w:tabs>
          <w:tab w:val="left" w:pos="720"/>
        </w:tabs>
        <w:suppressAutoHyphens/>
        <w:spacing w:after="0" w:line="240" w:lineRule="atLeast"/>
        <w:ind w:left="235" w:right="-1153" w:firstLine="605"/>
        <w:jc w:val="both"/>
        <w:rPr>
          <w:rFonts w:ascii="Times New Roman" w:hAnsi="Times New Roman" w:cs="Times New Roman"/>
          <w:b/>
          <w:bCs/>
          <w:sz w:val="24"/>
          <w:szCs w:val="24"/>
          <w:lang w:val="uk-UA"/>
        </w:rPr>
      </w:pPr>
      <w:r>
        <w:rPr>
          <w:rFonts w:ascii="Times New Roman" w:hAnsi="Times New Roman" w:cs="Times New Roman"/>
          <w:sz w:val="24"/>
          <w:szCs w:val="24"/>
          <w:lang w:val="uk-UA"/>
        </w:rPr>
        <w:t>6.3.12. Забезпечувати внесення всієї інформації про виконані ремонти (вид ремонту, дата виконання, прізвище та підпис виконавця) та прибуття ліфтової аварійної служби (дата, перелік виконаних робіт, прізвище та підпис виконавця) у журнал ТО Обладнання, який знаходиться у машинному приміщенні Обладнання (або у Замовника).</w:t>
      </w:r>
    </w:p>
    <w:p>
      <w:pPr>
        <w:suppressAutoHyphens/>
        <w:spacing w:after="0" w:line="240" w:lineRule="atLeast"/>
        <w:ind w:left="235" w:right="-1153" w:firstLine="605"/>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6.4. Виконавець має право:</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6.4.1. Своєчасно та в повному обсязі отримувати плату за надані Послуги на умовах даного Договору.</w:t>
      </w:r>
    </w:p>
    <w:p>
      <w:pPr>
        <w:suppressAutoHyphens/>
        <w:spacing w:after="0" w:line="240" w:lineRule="atLeast"/>
        <w:ind w:left="235" w:right="-1153" w:firstLine="602"/>
        <w:jc w:val="both"/>
        <w:rPr>
          <w:rFonts w:ascii="Times New Roman" w:hAnsi="Times New Roman" w:cs="Times New Roman"/>
          <w:b/>
          <w:bCs/>
          <w:sz w:val="24"/>
          <w:szCs w:val="24"/>
          <w:lang w:val="uk-UA"/>
        </w:rPr>
      </w:pPr>
      <w:r>
        <w:rPr>
          <w:rFonts w:ascii="Times New Roman" w:hAnsi="Times New Roman" w:cs="Times New Roman"/>
          <w:sz w:val="24"/>
          <w:szCs w:val="24"/>
          <w:lang w:val="uk-UA"/>
        </w:rPr>
        <w:t>6.4.2. На дострокове надання Послуг за погодженням із Замовником.</w:t>
      </w:r>
    </w:p>
    <w:p>
      <w:pPr>
        <w:tabs>
          <w:tab w:val="left" w:pos="720"/>
        </w:tabs>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6.4.3. У разі невиконання зобов’язань Замовником Виконавець має право достроково розірвати цей Договір в односторонньому порядку, попередньо повідомивши Замовника у письмовій формі за 10 (десять) робочих днів до дати розірвання Договору.</w:t>
      </w:r>
    </w:p>
    <w:p>
      <w:pPr>
        <w:tabs>
          <w:tab w:val="left" w:pos="799"/>
        </w:tabs>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6.4.4. </w:t>
      </w:r>
      <w:r>
        <w:rPr>
          <w:rFonts w:ascii="Times New Roman" w:hAnsi="Times New Roman" w:cs="Times New Roman"/>
          <w:sz w:val="24"/>
          <w:szCs w:val="24"/>
          <w:lang w:val="uk-UA"/>
        </w:rPr>
        <w:t>Змінювати умови Договору виключно із дотриманням вимог п. 11.2. Договору.</w:t>
      </w:r>
    </w:p>
    <w:p>
      <w:pPr>
        <w:tabs>
          <w:tab w:val="left" w:pos="799"/>
        </w:tabs>
        <w:suppressAutoHyphens/>
        <w:spacing w:after="0" w:line="240" w:lineRule="atLeast"/>
        <w:ind w:left="235" w:right="-1153" w:firstLine="602"/>
        <w:jc w:val="both"/>
        <w:rPr>
          <w:rFonts w:ascii="Times New Roman" w:hAnsi="Times New Roman" w:cs="Times New Roman"/>
          <w:sz w:val="24"/>
          <w:szCs w:val="24"/>
          <w:highlight w:val="white"/>
          <w:lang w:val="uk-UA"/>
        </w:rPr>
      </w:pPr>
      <w:r>
        <w:rPr>
          <w:rFonts w:ascii="Times New Roman" w:hAnsi="Times New Roman" w:cs="Times New Roman"/>
          <w:sz w:val="24"/>
          <w:szCs w:val="24"/>
          <w:shd w:val="clear" w:color="auto" w:fill="FFFFFF"/>
          <w:lang w:val="uk-UA"/>
        </w:rPr>
        <w:t>6.4.5. Для надання Послуг залучати робочу силу третіх осіб в необхідній кількості та відповідної кваліфікації за погодженням із Замовником. Відповідальність за дії залучених третіх осіб несе Виконавець.</w:t>
      </w:r>
    </w:p>
    <w:p>
      <w:pPr>
        <w:suppressAutoHyphens/>
        <w:spacing w:after="0" w:line="240" w:lineRule="atLeast"/>
        <w:ind w:left="235" w:right="-1153" w:firstLine="602"/>
        <w:jc w:val="center"/>
        <w:rPr>
          <w:rFonts w:ascii="Times New Roman" w:hAnsi="Times New Roman" w:cs="Times New Roman"/>
          <w:sz w:val="24"/>
          <w:szCs w:val="24"/>
          <w:lang w:val="uk-UA"/>
        </w:rPr>
      </w:pPr>
    </w:p>
    <w:p>
      <w:pPr>
        <w:suppressAutoHyphens/>
        <w:spacing w:after="0" w:line="240" w:lineRule="atLeast"/>
        <w:ind w:left="235" w:right="-1153" w:firstLine="60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7. ВІДПОВІДАЛЬНІСТЬ СТОРІН</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7.2. У випадку порушення умов зобов’язання щодо якості послуг Виконавець сплачує Замовнику штраф у розмірі двадцяти відсотків вартості неякісно наданих послуг.</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7.3. У випадку порушення строків виконання зобов'язання Виконавець сплачує Замовнику пеню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7.4. Сплата штрафних санкцій не звільняє винну Сторону від обов’язку належним чином виконати взяті на себе зобов’язання за цим Договором.</w:t>
      </w:r>
    </w:p>
    <w:p>
      <w:pPr>
        <w:tabs>
          <w:tab w:val="left" w:pos="1080"/>
        </w:tab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7.5. Стягнення штрафних санкцій до Замовника не застосовується у разі:</w:t>
      </w:r>
    </w:p>
    <w:p>
      <w:pPr>
        <w:tabs>
          <w:tab w:val="left" w:pos="1080"/>
        </w:tab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внесення змін до розпису Державного бюджету України (скорочення видатків) за загальним та спеціальним фондами бюджетної програми КПКВК 3507010;</w:t>
      </w:r>
    </w:p>
    <w:p>
      <w:pPr>
        <w:tabs>
          <w:tab w:val="left" w:pos="1080"/>
        </w:tab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pPr>
        <w:tabs>
          <w:tab w:val="left" w:pos="1080"/>
        </w:tab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тимчасового зупинення операцій з бюджетними коштами у межах поточного бюджетного періоду;</w:t>
      </w:r>
    </w:p>
    <w:p>
      <w:pPr>
        <w:tabs>
          <w:tab w:val="left" w:pos="1080"/>
        </w:tab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не проведення платежів органом Державної казначейської служби України;</w:t>
      </w:r>
    </w:p>
    <w:p>
      <w:pPr>
        <w:tabs>
          <w:tab w:val="left" w:pos="1080"/>
        </w:tab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відсутності коштів на єдиному казначейському рахунку на здійснення закупівлі Послуг.</w:t>
      </w:r>
    </w:p>
    <w:p>
      <w:pPr>
        <w:suppressAutoHyphens/>
        <w:spacing w:after="0" w:line="240" w:lineRule="atLeast"/>
        <w:ind w:left="235" w:right="-1153" w:firstLine="602"/>
        <w:jc w:val="both"/>
        <w:rPr>
          <w:rFonts w:ascii="Times New Roman" w:hAnsi="Times New Roman" w:cs="Times New Roman"/>
          <w:sz w:val="24"/>
          <w:szCs w:val="24"/>
          <w:lang w:val="uk-UA"/>
        </w:rPr>
      </w:pPr>
    </w:p>
    <w:p>
      <w:pPr>
        <w:suppressAutoHyphens/>
        <w:spacing w:after="0" w:line="240" w:lineRule="atLeast"/>
        <w:ind w:left="235" w:right="-1153" w:firstLine="60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8. ОБСТАВИНИ НЕПЕРЕБОРНОЇ СИЛИ</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дня  їх виникнення повідомити про це іншу Сторону у письмовій формі та вжити всі можливі заходи для виконання обов’язків, передбачених Договором, та для запобігання збитків.</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8.3.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за цим Договором.</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8.4. Доказом виникнення обставин непереборної сили та строку їх дії є відповідні документи, які видаються </w:t>
      </w:r>
      <w:r>
        <w:rPr>
          <w:rFonts w:ascii="Times New Roman" w:hAnsi="Times New Roman" w:cs="Times New Roman"/>
          <w:b/>
          <w:bCs/>
          <w:sz w:val="24"/>
          <w:szCs w:val="24"/>
          <w:lang w:val="uk-UA"/>
        </w:rPr>
        <w:t>Торгово-промисловою палатою України</w:t>
      </w:r>
      <w:r>
        <w:rPr>
          <w:rFonts w:ascii="Times New Roman" w:hAnsi="Times New Roman" w:cs="Times New Roman"/>
          <w:sz w:val="24"/>
          <w:szCs w:val="24"/>
          <w:lang w:val="uk-UA"/>
        </w:rPr>
        <w:t>.</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8.5.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pPr>
        <w:suppressAutoHyphen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8.6. </w:t>
      </w:r>
      <w:r>
        <w:rPr>
          <w:rFonts w:ascii="Times New Roman" w:hAnsi="Times New Roman" w:cs="Times New Roman"/>
          <w:color w:val="000000"/>
          <w:sz w:val="24"/>
          <w:szCs w:val="24"/>
          <w:lang w:val="uk-UA"/>
        </w:rPr>
        <w:t>О 5 годині 30 хвилин 24 лютого 2022 року по всій території України, відповідно до Указу Президента України № 64/2022 «Про введення воєнного стану в Україні», затвердженого Законом України від 24.02.2022 року № 2102-IX, запроваджено воєнний стан. Таке рішення ухвалено у зв’язку з військовою агресією Російської Федерації проти України, на підставі пропозиції Ради національної безпеки і оборони України та відповідно до українського законодавства.</w:t>
      </w:r>
    </w:p>
    <w:p>
      <w:pPr>
        <w:suppressAutoHyphens/>
        <w:spacing w:after="0" w:line="240" w:lineRule="atLeast"/>
        <w:ind w:left="235" w:right="-1153" w:firstLine="602"/>
        <w:jc w:val="both"/>
        <w:rPr>
          <w:rFonts w:hint="default" w:ascii="Times New Roman" w:hAnsi="Times New Roman" w:cs="Times New Roman"/>
          <w:color w:val="auto"/>
          <w:sz w:val="24"/>
          <w:szCs w:val="24"/>
          <w:lang w:val="uk-UA"/>
        </w:rPr>
      </w:pPr>
      <w:r>
        <w:rPr>
          <w:rFonts w:hint="default" w:ascii="Times New Roman" w:hAnsi="Times New Roman" w:cs="Times New Roman"/>
          <w:color w:val="auto"/>
          <w:sz w:val="24"/>
          <w:szCs w:val="24"/>
          <w:lang w:val="uk-UA" w:eastAsia="en-US"/>
        </w:rPr>
        <w:t>Згідно зі змінами, внесеними Указами від 14.03.2022 року № 133/2022, затвердженим Законом України від 15.03.2022 року № 2119-IX, від 18.04.2022 року № 259/2022, затвердженим Законом України від 21.04.2022 року № 2212-IX та від 17.05.2022 року № 341/2022, затвердженим Законом України від 22.05.2022 року № 2263-IX, та від 12.08.2022 року № 573/2022, затвердженим Законом України від 15.08.2022 року № 2500-IX, та від 07.11.2022 року № 757/2022, затвердженим Законом України від 16.11.2022 року № 2738-IX, та від 06.02.2023 року № 58/2023, затвердженим Законом України від 07.02.2023 року № 2915-IX, та від 01.05.2023 року №254/2023, затвердженим Законом України від 02.05.2023 року № 3057-ІХ, та від 26.07.2023 року № 451/2023, затвердженим Законом України від 27.07.2023 року № 3275-IX та від 06.11.2023 року №734/2023, затвердженим Законом України від 08.11.2023 року № 3429-ІХ продовжено строк дії воєнного стану в Україні з 05 години 30 хвилин 16 листопада 2023 року строком на 90 діб.</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Враховуючи зазначене, Сторони звільняються від відповідальності за невиконання умов цього Договору у разі неможливості надання чи отримання послуг внаслідок пошкодження об’єктів Споживача або Виконавця спричиненого військовою агресією.</w:t>
      </w:r>
    </w:p>
    <w:p>
      <w:pPr>
        <w:suppressAutoHyphens/>
        <w:spacing w:after="0" w:line="240" w:lineRule="atLeast"/>
        <w:ind w:left="235" w:right="-1153" w:firstLine="602"/>
        <w:jc w:val="both"/>
        <w:rPr>
          <w:rFonts w:ascii="Times New Roman" w:hAnsi="Times New Roman" w:cs="Times New Roman"/>
          <w:sz w:val="24"/>
          <w:szCs w:val="24"/>
          <w:lang w:val="uk-UA"/>
        </w:rPr>
      </w:pPr>
    </w:p>
    <w:p>
      <w:pPr>
        <w:suppressAutoHyphens/>
        <w:spacing w:after="0" w:line="240" w:lineRule="atLeast"/>
        <w:ind w:left="235" w:right="-1153" w:firstLine="60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9. ВИРІШЕННЯ СПОРІВ</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pPr>
        <w:suppressAutoHyphen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9.3. Взаємовідносини Сторін, які не врегульовані цим Договором, регламентуються діючим законодавством України.</w:t>
      </w:r>
    </w:p>
    <w:p>
      <w:pPr>
        <w:suppressAutoHyphens/>
        <w:spacing w:after="0" w:line="240" w:lineRule="atLeast"/>
        <w:ind w:left="235" w:right="-1153" w:firstLine="60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10. СТРОК ДІЇ ДОГОВОРУ</w:t>
      </w:r>
    </w:p>
    <w:p>
      <w:pPr>
        <w:tabs>
          <w:tab w:val="left" w:pos="1276"/>
        </w:tabs>
        <w:suppressAutoHyphens/>
        <w:spacing w:after="0" w:line="240" w:lineRule="atLeast"/>
        <w:ind w:left="235" w:right="-1153" w:firstLine="602"/>
        <w:jc w:val="both"/>
        <w:rPr>
          <w:rFonts w:ascii="Times New Roman" w:hAnsi="Times New Roman" w:cs="Times New Roman"/>
          <w:sz w:val="24"/>
          <w:szCs w:val="24"/>
          <w:highlight w:val="white"/>
          <w:lang w:val="uk-UA"/>
        </w:rPr>
      </w:pPr>
      <w:r>
        <w:rPr>
          <w:rFonts w:ascii="Times New Roman" w:hAnsi="Times New Roman" w:cs="Times New Roman"/>
          <w:sz w:val="24"/>
          <w:szCs w:val="24"/>
          <w:shd w:val="clear" w:color="auto" w:fill="FFFFFF"/>
          <w:lang w:val="uk-UA"/>
        </w:rPr>
        <w:t xml:space="preserve">10.1. </w:t>
      </w:r>
      <w:r>
        <w:rPr>
          <w:rFonts w:hint="default" w:ascii="Times New Roman" w:hAnsi="Times New Roman" w:eastAsia="SimSun" w:cs="Times New Roman"/>
          <w:color w:val="auto"/>
          <w:sz w:val="24"/>
          <w:szCs w:val="24"/>
          <w:lang w:val="uk-UA" w:eastAsia="ru-RU"/>
        </w:rPr>
        <w:t>Цей Договір набирає чинності з моменту його підписання Сторонами та діє до</w:t>
      </w:r>
      <w:r>
        <w:rPr>
          <w:rFonts w:hint="default" w:ascii="Times New Roman" w:hAnsi="Times New Roman" w:cs="Times New Roman"/>
          <w:color w:val="auto"/>
          <w:sz w:val="24"/>
          <w:szCs w:val="24"/>
          <w:lang w:val="uk-UA" w:eastAsia="ru-RU"/>
        </w:rPr>
        <w:t xml:space="preserve"> </w:t>
      </w:r>
      <w:r>
        <w:rPr>
          <w:rFonts w:hint="default" w:ascii="Times New Roman" w:hAnsi="Times New Roman" w:eastAsia="SimSun" w:cs="Times New Roman"/>
          <w:color w:val="auto"/>
          <w:sz w:val="24"/>
          <w:szCs w:val="24"/>
          <w:lang w:val="uk-UA" w:eastAsia="ru-RU"/>
        </w:rPr>
        <w:t>31.12.202</w:t>
      </w:r>
      <w:r>
        <w:rPr>
          <w:rFonts w:hint="default" w:ascii="Times New Roman" w:hAnsi="Times New Roman" w:cs="Times New Roman"/>
          <w:color w:val="auto"/>
          <w:sz w:val="24"/>
          <w:szCs w:val="24"/>
          <w:lang w:val="uk-UA" w:eastAsia="ru-RU"/>
        </w:rPr>
        <w:t>4</w:t>
      </w:r>
      <w:r>
        <w:rPr>
          <w:rFonts w:hint="default" w:ascii="Times New Roman" w:hAnsi="Times New Roman" w:eastAsia="SimSun" w:cs="Times New Roman"/>
          <w:color w:val="auto"/>
          <w:sz w:val="24"/>
          <w:szCs w:val="24"/>
          <w:lang w:val="uk-UA" w:eastAsia="ru-RU"/>
        </w:rPr>
        <w:t xml:space="preserve"> року, а в частині розрахунків по Договору - до повного їх виконання.</w:t>
      </w:r>
    </w:p>
    <w:p>
      <w:pPr>
        <w:tabs>
          <w:tab w:val="left" w:pos="1276"/>
        </w:tabs>
        <w:suppressAutoHyphens/>
        <w:spacing w:after="0" w:line="240" w:lineRule="atLeast"/>
        <w:ind w:left="235" w:right="-1153" w:firstLine="602"/>
        <w:jc w:val="both"/>
        <w:rPr>
          <w:rFonts w:ascii="Times New Roman" w:hAnsi="Times New Roman" w:cs="Times New Roman"/>
          <w:sz w:val="24"/>
          <w:szCs w:val="24"/>
          <w:highlight w:val="white"/>
          <w:lang w:val="uk-UA"/>
        </w:rPr>
      </w:pPr>
      <w:r>
        <w:rPr>
          <w:rFonts w:ascii="Times New Roman" w:hAnsi="Times New Roman" w:cs="Times New Roman"/>
          <w:sz w:val="24"/>
          <w:szCs w:val="24"/>
          <w:shd w:val="clear" w:color="auto" w:fill="FFFFFF"/>
          <w:lang w:val="uk-UA"/>
        </w:rPr>
        <w:t>10.2. Закінчення строку дії цього Договору не звільняє Сторони від відповідальності за його порушення, яке мало місце під час дії цього Договору.</w:t>
      </w:r>
    </w:p>
    <w:p>
      <w:pPr>
        <w:suppressAutoHyphens/>
        <w:spacing w:after="0" w:line="240" w:lineRule="atLeast"/>
        <w:ind w:left="235" w:right="-1153" w:firstLine="602"/>
        <w:jc w:val="both"/>
        <w:rPr>
          <w:rFonts w:ascii="Times New Roman" w:hAnsi="Times New Roman" w:cs="Times New Roman"/>
          <w:sz w:val="24"/>
          <w:szCs w:val="24"/>
          <w:lang w:val="uk-UA"/>
        </w:rPr>
      </w:pPr>
    </w:p>
    <w:p>
      <w:pPr>
        <w:suppressAutoHyphens/>
        <w:spacing w:after="0" w:line="240" w:lineRule="atLeast"/>
        <w:ind w:left="235" w:right="-1153" w:firstLine="60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11. ІНШІ УМОВИ</w:t>
      </w:r>
    </w:p>
    <w:p>
      <w:pPr>
        <w:tabs>
          <w:tab w:val="left" w:pos="0"/>
          <w:tab w:val="left" w:pos="567"/>
        </w:tab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11.1. Відступлення права вимоги та/або переведення боргу за цим Договором однією зі Сторін </w:t>
      </w:r>
      <w:r>
        <w:rPr>
          <w:rFonts w:ascii="Times New Roman" w:hAnsi="Times New Roman" w:cs="Times New Roman"/>
          <w:color w:val="000000"/>
          <w:sz w:val="24"/>
          <w:szCs w:val="24"/>
          <w:lang w:val="uk-UA"/>
        </w:rPr>
        <w:t xml:space="preserve">без письмової згоди другої Сторони </w:t>
      </w:r>
      <w:r>
        <w:rPr>
          <w:rFonts w:ascii="Times New Roman" w:hAnsi="Times New Roman" w:cs="Times New Roman"/>
          <w:sz w:val="24"/>
          <w:szCs w:val="24"/>
          <w:lang w:val="uk-UA"/>
        </w:rPr>
        <w:t>третім особам не допускається.</w:t>
      </w:r>
    </w:p>
    <w:p>
      <w:pPr>
        <w:tabs>
          <w:tab w:val="left" w:pos="0"/>
          <w:tab w:val="left" w:pos="567"/>
        </w:tab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11.2. Зміни до істотних умов  цього Договору можуть бути внесенні у разі:</w:t>
      </w:r>
    </w:p>
    <w:p>
      <w:pPr>
        <w:widowControl w:val="0"/>
        <w:tabs>
          <w:tab w:val="left" w:pos="142"/>
          <w:tab w:val="left" w:pos="426"/>
        </w:tabs>
        <w:suppressAutoHyphen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зменшення обсягів закупівлі, зокрема з урахуванням фактичного обсягу видатків замовника;</w:t>
      </w:r>
    </w:p>
    <w:p>
      <w:pPr>
        <w:widowControl w:val="0"/>
        <w:tabs>
          <w:tab w:val="left" w:pos="142"/>
          <w:tab w:val="left" w:pos="426"/>
        </w:tabs>
        <w:suppressAutoHyphen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widowControl w:val="0"/>
        <w:tabs>
          <w:tab w:val="left" w:pos="142"/>
          <w:tab w:val="left" w:pos="426"/>
        </w:tabs>
        <w:suppressAutoHyphen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pPr>
        <w:widowControl w:val="0"/>
        <w:tabs>
          <w:tab w:val="left" w:pos="142"/>
          <w:tab w:val="left" w:pos="426"/>
        </w:tabs>
        <w:suppressAutoHyphen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widowControl w:val="0"/>
        <w:tabs>
          <w:tab w:val="left" w:pos="142"/>
          <w:tab w:val="left" w:pos="426"/>
        </w:tabs>
        <w:suppressAutoHyphen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p>
    <w:p>
      <w:pPr>
        <w:widowControl w:val="0"/>
        <w:tabs>
          <w:tab w:val="left" w:pos="142"/>
          <w:tab w:val="left" w:pos="426"/>
        </w:tabs>
        <w:suppressAutoHyphen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widowControl w:val="0"/>
        <w:tabs>
          <w:tab w:val="left" w:pos="142"/>
          <w:tab w:val="left" w:pos="426"/>
        </w:tabs>
        <w:suppressAutoHyphen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tabs>
          <w:tab w:val="left" w:pos="0"/>
          <w:tab w:val="left" w:pos="567"/>
        </w:tabs>
        <w:spacing w:after="0" w:line="240" w:lineRule="atLeast"/>
        <w:ind w:left="235" w:right="-1153" w:firstLine="60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зміни умов у зв’язку із застосуванням положень частини шостої статті 41 Закону.</w:t>
      </w:r>
    </w:p>
    <w:p>
      <w:pPr>
        <w:tabs>
          <w:tab w:val="left" w:pos="0"/>
          <w:tab w:val="left" w:pos="567"/>
        </w:tab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11.3. Усі правовідносини, що виникають з цього Договору або пов’язані із ним регулюються положеннями законодавства України, а також застосовними до таких правовідносин звичаями ділового обороту відповідно до принципів добросовісності, розумності та справедливості.</w:t>
      </w:r>
      <w:bookmarkStart w:id="18" w:name="bookmark114"/>
      <w:bookmarkEnd w:id="18"/>
    </w:p>
    <w:p>
      <w:pPr>
        <w:tabs>
          <w:tab w:val="left" w:pos="0"/>
          <w:tab w:val="left" w:pos="567"/>
        </w:tab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11.4. Представники Сторін, уповноваженні на укладання цього Договору, погоджуються з тим,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надають згоду (дозвіл) на обробку своїх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Підписанням даного Договору Замовник підтверджує наявність правових підстав на укладення Договору, права оперативного управління та вичерпного обсягу технічної документації на Обладнання, передбаченої вимогами чинного законодавства України.</w:t>
      </w:r>
    </w:p>
    <w:p>
      <w:pPr>
        <w:tabs>
          <w:tab w:val="left" w:pos="0"/>
          <w:tab w:val="left" w:pos="567"/>
        </w:tab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11.5. Цей Договір складено українською мовою у двох оригінальних примірниках, що мають однакову юридичну силу, по одному для кожної з Сторін.</w:t>
      </w:r>
    </w:p>
    <w:p>
      <w:pPr>
        <w:tabs>
          <w:tab w:val="left" w:pos="0"/>
          <w:tab w:val="left" w:pos="567"/>
        </w:tab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11.6. Всі зміни та доповнення до цього Договору вважаються дійсними, якщо вони внесені за взаємною згодою Сторін, письмово оформлені як додаткові угоди до Договору та підписані уповноваженими представниками Сторін.</w:t>
      </w:r>
      <w:bookmarkStart w:id="19" w:name="bookmark117"/>
      <w:bookmarkEnd w:id="19"/>
    </w:p>
    <w:p>
      <w:pPr>
        <w:tabs>
          <w:tab w:val="left" w:pos="0"/>
          <w:tab w:val="left" w:pos="567"/>
        </w:tab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11.7. Будь-яке повідомлення, що надсилається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телексом чи телефаксом (з обов’язковим подальшим наданням оригіналу) на адресу відповідної Сторони, якщо інша форма повідомлення не передбачена Договором.</w:t>
      </w:r>
      <w:bookmarkStart w:id="20" w:name="bookmark118"/>
      <w:bookmarkEnd w:id="20"/>
      <w:bookmarkStart w:id="21" w:name="bookmark119"/>
      <w:bookmarkEnd w:id="21"/>
    </w:p>
    <w:p>
      <w:pPr>
        <w:tabs>
          <w:tab w:val="left" w:pos="0"/>
          <w:tab w:val="left" w:pos="567"/>
        </w:tab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11.8. Не здійснення будь-якою із Сторін своїх прав за цим Договором не може розглядатися як відмова такої Сторони від своїх прав або звільнення іншої Сторони від виконання відповідного зобов’язання, встановленого Договором.</w:t>
      </w:r>
      <w:bookmarkStart w:id="22" w:name="bookmark120"/>
      <w:bookmarkEnd w:id="22"/>
    </w:p>
    <w:p>
      <w:pPr>
        <w:tabs>
          <w:tab w:val="left" w:pos="0"/>
          <w:tab w:val="left" w:pos="567"/>
        </w:tab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11.9. Кожна із Сторін зобов’язана протягом 5 (п’яти) робочих днів з дня внесення відповідних змін, повідомляти про зміни назви, місцезнаходження, банківських реквізитів, номерів телефонів, телефаксів, керівників підприємства, статутних документів, зміну форми власності (зокрема прийняття рішення про ліквідацію, реорганізацію або початок процедури банкрутства тощо), зміни статусу платника податків та про всі інші зміни, які здатні вплинути на реалізацію Договору та виконання зобов’язань за ним, а у разі зміни правового статусу Замовника по відношенню до Обладнання, що унеможливлює володіння, користування або розпорядження Обладнанням на законних підставах, Замовник зобов'язаний негайно, але не пізніше 5 (п’яти) робочих днів з дати настання відповідних обставин, письмово повідомити Виконавця про такий факт.</w:t>
      </w:r>
    </w:p>
    <w:p>
      <w:pPr>
        <w:tabs>
          <w:tab w:val="left" w:pos="0"/>
          <w:tab w:val="left" w:pos="567"/>
        </w:tab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11.10. Після підписання Договору всі попередні переговори за ним, листування, угоди та протоколи намірів, які так чи інакше стосуються Договору, втрачають юридичну силу.</w:t>
      </w:r>
    </w:p>
    <w:p>
      <w:pPr>
        <w:tabs>
          <w:tab w:val="left" w:pos="0"/>
          <w:tab w:val="left" w:pos="567"/>
        </w:tab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11.11. Листування, пов’язане з виконанням, зміною або припиненням дії Договору, повинно здійснюватися рекомендованими листами з повідомленням про вручення за підписом керівників Сторін, їхніх заступників або осіб, спеціально уповноважених для оперативного вирішення питань, які виникають.</w:t>
      </w:r>
    </w:p>
    <w:p>
      <w:pPr>
        <w:tabs>
          <w:tab w:val="left" w:pos="0"/>
          <w:tab w:val="left" w:pos="567"/>
        </w:tabs>
        <w:spacing w:after="0" w:line="240" w:lineRule="atLeast"/>
        <w:ind w:left="235" w:right="-1153" w:firstLine="602"/>
        <w:jc w:val="both"/>
        <w:rPr>
          <w:rFonts w:ascii="Times New Roman" w:hAnsi="Times New Roman" w:cs="Times New Roman"/>
          <w:sz w:val="24"/>
          <w:szCs w:val="24"/>
          <w:lang w:val="uk-UA"/>
        </w:rPr>
      </w:pPr>
      <w:r>
        <w:rPr>
          <w:rFonts w:ascii="Times New Roman" w:hAnsi="Times New Roman" w:cs="Times New Roman"/>
          <w:sz w:val="24"/>
          <w:szCs w:val="24"/>
          <w:lang w:val="uk-UA"/>
        </w:rPr>
        <w:t>11.12. Всі додатки до Договору, підписані обома Сторонами, є невід’ємними частинами Договору.</w:t>
      </w:r>
    </w:p>
    <w:p>
      <w:pPr>
        <w:suppressAutoHyphens/>
        <w:spacing w:after="0" w:line="240" w:lineRule="atLeast"/>
        <w:ind w:left="235" w:right="-1153" w:firstLine="60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12. ДОДАТКИ ДО ДОГОВОРУ</w:t>
      </w:r>
    </w:p>
    <w:p>
      <w:pPr>
        <w:suppressAutoHyphens/>
        <w:spacing w:after="0" w:line="240" w:lineRule="atLeast"/>
        <w:ind w:left="235" w:right="-1153" w:firstLine="602"/>
        <w:rPr>
          <w:rFonts w:ascii="Times New Roman" w:hAnsi="Times New Roman" w:cs="Times New Roman"/>
          <w:sz w:val="24"/>
          <w:szCs w:val="24"/>
          <w:lang w:val="uk-UA"/>
        </w:rPr>
      </w:pPr>
      <w:r>
        <w:rPr>
          <w:rFonts w:ascii="Times New Roman" w:hAnsi="Times New Roman" w:cs="Times New Roman"/>
          <w:sz w:val="24"/>
          <w:szCs w:val="24"/>
          <w:lang w:val="uk-UA"/>
        </w:rPr>
        <w:t>12.1. Невід’ємною частиною цього Договору є:</w:t>
      </w:r>
    </w:p>
    <w:p>
      <w:pPr>
        <w:suppressAutoHyphens/>
        <w:spacing w:after="0" w:line="240" w:lineRule="atLeast"/>
        <w:ind w:left="235" w:right="-1153" w:firstLine="602"/>
        <w:rPr>
          <w:rFonts w:ascii="Times New Roman" w:hAnsi="Times New Roman" w:cs="Times New Roman"/>
          <w:sz w:val="24"/>
          <w:szCs w:val="24"/>
          <w:lang w:val="uk-UA"/>
        </w:rPr>
      </w:pPr>
      <w:r>
        <w:rPr>
          <w:rFonts w:ascii="Times New Roman" w:hAnsi="Times New Roman" w:cs="Times New Roman"/>
          <w:sz w:val="24"/>
          <w:szCs w:val="24"/>
          <w:lang w:val="uk-UA"/>
        </w:rPr>
        <w:t>12.1.1. Перелік Обладнання та вартість Послуг</w:t>
      </w:r>
      <w:bookmarkStart w:id="23" w:name="bookmark12922"/>
      <w:bookmarkEnd w:id="23"/>
      <w:r>
        <w:rPr>
          <w:rFonts w:ascii="Times New Roman" w:hAnsi="Times New Roman" w:cs="Times New Roman"/>
          <w:sz w:val="24"/>
          <w:szCs w:val="24"/>
          <w:lang w:val="uk-UA"/>
        </w:rPr>
        <w:t xml:space="preserve"> (Додаток № 1 до Договору).</w:t>
      </w:r>
    </w:p>
    <w:p>
      <w:pPr>
        <w:suppressAutoHyphens/>
        <w:spacing w:after="0" w:line="240" w:lineRule="atLeast"/>
        <w:ind w:left="235" w:right="-1153" w:firstLine="602"/>
        <w:rPr>
          <w:rFonts w:ascii="Times New Roman" w:hAnsi="Times New Roman" w:cs="Times New Roman"/>
          <w:sz w:val="24"/>
          <w:szCs w:val="24"/>
          <w:lang w:val="uk-UA"/>
        </w:rPr>
      </w:pPr>
      <w:r>
        <w:rPr>
          <w:rFonts w:ascii="Times New Roman" w:hAnsi="Times New Roman" w:cs="Times New Roman"/>
          <w:sz w:val="24"/>
          <w:szCs w:val="24"/>
          <w:lang w:val="uk-UA"/>
        </w:rPr>
        <w:t>12.1.2.Технічні вимоги (Додаток № 2 до Договору).</w:t>
      </w:r>
    </w:p>
    <w:p>
      <w:pPr>
        <w:suppressAutoHyphens/>
        <w:spacing w:after="0" w:line="240" w:lineRule="atLeast"/>
        <w:ind w:left="235" w:right="-1153" w:firstLine="602"/>
        <w:rPr>
          <w:rFonts w:ascii="Times New Roman" w:hAnsi="Times New Roman" w:cs="Times New Roman"/>
          <w:sz w:val="24"/>
          <w:szCs w:val="24"/>
          <w:lang w:val="uk-UA"/>
        </w:rPr>
      </w:pPr>
    </w:p>
    <w:p>
      <w:pPr>
        <w:suppressAutoHyphens/>
        <w:spacing w:after="0" w:line="240" w:lineRule="atLeast"/>
        <w:ind w:left="235" w:right="-1153" w:firstLine="605"/>
        <w:jc w:val="center"/>
        <w:rPr>
          <w:rFonts w:ascii="Times New Roman" w:hAnsi="Times New Roman" w:cs="Times New Roman"/>
          <w:sz w:val="24"/>
          <w:szCs w:val="24"/>
          <w:lang w:val="uk-UA"/>
        </w:rPr>
      </w:pPr>
      <w:r>
        <w:rPr>
          <w:rFonts w:ascii="Times New Roman" w:hAnsi="Times New Roman" w:cs="Times New Roman"/>
          <w:b/>
          <w:bCs/>
          <w:sz w:val="24"/>
          <w:szCs w:val="24"/>
          <w:lang w:val="uk-UA"/>
        </w:rPr>
        <w:t>13. РЕКВІЗИТИ ТА ПІДПИСИ СТОРІН</w:t>
      </w:r>
    </w:p>
    <w:tbl>
      <w:tblPr>
        <w:tblStyle w:val="7"/>
        <w:tblW w:w="99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27"/>
        <w:gridCol w:w="360"/>
        <w:gridCol w:w="5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427" w:type="dxa"/>
          </w:tcPr>
          <w:p>
            <w:pPr>
              <w:spacing w:after="0" w:line="240" w:lineRule="auto"/>
              <w:contextualSpacing/>
              <w:jc w:val="center"/>
              <w:rPr>
                <w:rFonts w:ascii="Times New Roman" w:hAnsi="Times New Roman" w:cs="Times New Roman"/>
                <w:b/>
                <w:bCs/>
                <w:sz w:val="24"/>
                <w:szCs w:val="24"/>
                <w:lang w:val="uk-UA"/>
              </w:rPr>
            </w:pPr>
            <w:r>
              <w:rPr>
                <w:rFonts w:ascii="Times New Roman" w:hAnsi="Times New Roman" w:cs="Times New Roman"/>
                <w:b/>
                <w:bCs/>
                <w:color w:val="000000"/>
                <w:sz w:val="24"/>
                <w:szCs w:val="24"/>
                <w:lang w:val="uk-UA"/>
              </w:rPr>
              <w:t>ВИКОНАВЕЦЬ:</w:t>
            </w:r>
          </w:p>
        </w:tc>
        <w:tc>
          <w:tcPr>
            <w:tcW w:w="360" w:type="dxa"/>
          </w:tcPr>
          <w:p>
            <w:pPr>
              <w:spacing w:after="0" w:line="240" w:lineRule="auto"/>
              <w:contextualSpacing/>
              <w:jc w:val="center"/>
              <w:rPr>
                <w:rFonts w:ascii="Times New Roman" w:hAnsi="Times New Roman" w:cs="Times New Roman"/>
                <w:b/>
                <w:bCs/>
                <w:sz w:val="24"/>
                <w:szCs w:val="24"/>
                <w:lang w:val="uk-UA"/>
              </w:rPr>
            </w:pPr>
          </w:p>
        </w:tc>
        <w:tc>
          <w:tcPr>
            <w:tcW w:w="5149" w:type="dxa"/>
          </w:tcPr>
          <w:p>
            <w:pPr>
              <w:spacing w:after="0" w:line="240" w:lineRule="auto"/>
              <w:contextualSpacing/>
              <w:jc w:val="center"/>
              <w:rPr>
                <w:rFonts w:ascii="Times New Roman" w:hAnsi="Times New Roman" w:cs="Times New Roman"/>
                <w:b/>
                <w:bCs/>
                <w:sz w:val="24"/>
                <w:szCs w:val="24"/>
                <w:lang w:val="uk-UA"/>
              </w:rPr>
            </w:pPr>
            <w:r>
              <w:rPr>
                <w:rFonts w:ascii="Times New Roman" w:hAnsi="Times New Roman" w:cs="Times New Roman"/>
                <w:b/>
                <w:bCs/>
                <w:color w:val="000000"/>
                <w:sz w:val="24"/>
                <w:szCs w:val="24"/>
                <w:lang w:val="uk-UA"/>
              </w:rPr>
              <w:t>ЗАМОВНИК: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427" w:type="dxa"/>
          </w:tcPr>
          <w:p>
            <w:pPr>
              <w:spacing w:after="0" w:line="240" w:lineRule="auto"/>
              <w:contextualSpacing/>
              <w:jc w:val="both"/>
              <w:rPr>
                <w:rFonts w:ascii="Times New Roman" w:hAnsi="Times New Roman" w:cs="Times New Roman"/>
                <w:sz w:val="24"/>
                <w:szCs w:val="24"/>
              </w:rPr>
            </w:pPr>
          </w:p>
        </w:tc>
        <w:tc>
          <w:tcPr>
            <w:tcW w:w="360" w:type="dxa"/>
          </w:tcPr>
          <w:p>
            <w:pPr>
              <w:spacing w:after="0" w:line="240" w:lineRule="auto"/>
              <w:contextualSpacing/>
              <w:jc w:val="center"/>
              <w:rPr>
                <w:rFonts w:ascii="Times New Roman" w:hAnsi="Times New Roman" w:cs="Times New Roman"/>
                <w:b/>
                <w:bCs/>
                <w:sz w:val="24"/>
                <w:szCs w:val="24"/>
                <w:lang w:val="uk-UA"/>
              </w:rPr>
            </w:pPr>
          </w:p>
        </w:tc>
        <w:tc>
          <w:tcPr>
            <w:tcW w:w="5149" w:type="dxa"/>
          </w:tcPr>
          <w:p>
            <w:pPr>
              <w:spacing w:after="0" w:line="240" w:lineRule="atLeast"/>
              <w:ind w:left="243" w:right="139" w:hanging="14"/>
              <w:jc w:val="center"/>
              <w:rPr>
                <w:rFonts w:ascii="Times New Roman" w:hAnsi="Times New Roman" w:cs="Times New Roman"/>
                <w:sz w:val="24"/>
                <w:szCs w:val="24"/>
                <w:lang w:val="uk-UA"/>
              </w:rPr>
            </w:pPr>
            <w:r>
              <w:rPr>
                <w:rFonts w:ascii="Times New Roman" w:hAnsi="Times New Roman" w:cs="Times New Roman"/>
                <w:b/>
                <w:bCs/>
                <w:color w:val="000000"/>
                <w:sz w:val="24"/>
                <w:szCs w:val="24"/>
                <w:lang w:val="uk-UA"/>
              </w:rPr>
              <w:t>Державна податкова служба України</w:t>
            </w:r>
          </w:p>
          <w:p>
            <w:pPr>
              <w:spacing w:after="0" w:line="240" w:lineRule="atLeast"/>
              <w:ind w:left="243" w:right="139" w:hanging="14"/>
              <w:jc w:val="center"/>
              <w:rPr>
                <w:rFonts w:ascii="Times New Roman" w:hAnsi="Times New Roman" w:cs="Times New Roman"/>
                <w:sz w:val="24"/>
                <w:szCs w:val="24"/>
                <w:lang w:val="uk-UA"/>
              </w:rPr>
            </w:pPr>
            <w:r>
              <w:rPr>
                <w:rFonts w:ascii="Times New Roman" w:hAnsi="Times New Roman" w:cs="Times New Roman"/>
                <w:b/>
                <w:bCs/>
                <w:color w:val="000000"/>
                <w:sz w:val="24"/>
                <w:szCs w:val="24"/>
                <w:lang w:val="uk-UA"/>
              </w:rPr>
              <w:t>Головне управління ДПС</w:t>
            </w:r>
          </w:p>
          <w:p>
            <w:pPr>
              <w:keepNext/>
              <w:keepLines/>
              <w:widowControl w:val="0"/>
              <w:tabs>
                <w:tab w:val="left" w:pos="231"/>
                <w:tab w:val="left" w:leader="underscore" w:pos="7292"/>
              </w:tabs>
              <w:spacing w:after="0" w:line="240" w:lineRule="atLeast"/>
              <w:ind w:left="243" w:right="139" w:hanging="14"/>
              <w:jc w:val="center"/>
              <w:rPr>
                <w:rFonts w:ascii="Times New Roman" w:hAnsi="Times New Roman" w:cs="Times New Roman"/>
                <w:color w:val="000000"/>
                <w:sz w:val="24"/>
                <w:szCs w:val="24"/>
                <w:lang w:val="uk-UA"/>
              </w:rPr>
            </w:pPr>
            <w:r>
              <w:rPr>
                <w:rFonts w:ascii="Times New Roman" w:hAnsi="Times New Roman" w:cs="Times New Roman"/>
                <w:b/>
                <w:bCs/>
                <w:color w:val="000000"/>
                <w:sz w:val="24"/>
                <w:szCs w:val="24"/>
                <w:lang w:val="uk-UA"/>
              </w:rPr>
              <w:t>у Вінницькій області</w:t>
            </w:r>
          </w:p>
          <w:p>
            <w:pPr>
              <w:tabs>
                <w:tab w:val="left" w:pos="5023"/>
              </w:tabs>
              <w:spacing w:after="0" w:line="240" w:lineRule="atLeast"/>
              <w:ind w:right="139"/>
              <w:jc w:val="both"/>
              <w:rPr>
                <w:rFonts w:ascii="Times New Roman" w:hAnsi="Times New Roman" w:cs="Times New Roman"/>
                <w:color w:val="00000A"/>
                <w:sz w:val="24"/>
                <w:szCs w:val="24"/>
                <w:lang w:val="uk-UA"/>
              </w:rPr>
            </w:pPr>
            <w:r>
              <w:rPr>
                <w:rFonts w:ascii="Times New Roman" w:hAnsi="Times New Roman" w:cs="Times New Roman"/>
                <w:color w:val="000000"/>
                <w:sz w:val="24"/>
                <w:szCs w:val="24"/>
                <w:lang w:val="uk-UA"/>
              </w:rPr>
              <w:t>21028, м. Вінниця, вул. Хмельницьке шосе, 7</w:t>
            </w:r>
          </w:p>
          <w:p>
            <w:pPr>
              <w:tabs>
                <w:tab w:val="left" w:pos="5023"/>
              </w:tabs>
              <w:spacing w:after="0" w:line="240" w:lineRule="atLeast"/>
              <w:ind w:right="139"/>
              <w:jc w:val="both"/>
              <w:rPr>
                <w:rFonts w:ascii="Times New Roman" w:hAnsi="Times New Roman" w:cs="Times New Roman"/>
                <w:color w:val="00000A"/>
                <w:sz w:val="24"/>
                <w:szCs w:val="24"/>
                <w:lang w:val="uk-UA"/>
              </w:rPr>
            </w:pPr>
            <w:r>
              <w:rPr>
                <w:rFonts w:ascii="Times New Roman" w:hAnsi="Times New Roman" w:cs="Times New Roman"/>
                <w:color w:val="000000"/>
                <w:sz w:val="24"/>
                <w:szCs w:val="24"/>
                <w:lang w:val="uk-UA"/>
              </w:rPr>
              <w:t xml:space="preserve">тел. (0432) </w:t>
            </w:r>
            <w:r>
              <w:rPr>
                <w:rFonts w:ascii="Times New Roman" w:hAnsi="Times New Roman" w:cs="Times New Roman"/>
                <w:color w:val="000000"/>
                <w:sz w:val="24"/>
                <w:szCs w:val="24"/>
              </w:rPr>
              <w:t>59</w:t>
            </w:r>
            <w:r>
              <w:rPr>
                <w:rFonts w:ascii="Times New Roman" w:hAnsi="Times New Roman" w:cs="Times New Roman"/>
                <w:color w:val="000000"/>
                <w:sz w:val="24"/>
                <w:szCs w:val="24"/>
                <w:lang w:val="uk-UA"/>
              </w:rPr>
              <w:t>-</w:t>
            </w:r>
            <w:r>
              <w:rPr>
                <w:rFonts w:ascii="Times New Roman" w:hAnsi="Times New Roman" w:cs="Times New Roman"/>
                <w:color w:val="000000"/>
                <w:sz w:val="24"/>
                <w:szCs w:val="24"/>
              </w:rPr>
              <w:t>23</w:t>
            </w:r>
            <w:r>
              <w:rPr>
                <w:rFonts w:ascii="Times New Roman" w:hAnsi="Times New Roman" w:cs="Times New Roman"/>
                <w:color w:val="000000"/>
                <w:sz w:val="24"/>
                <w:szCs w:val="24"/>
                <w:lang w:val="uk-UA"/>
              </w:rPr>
              <w:t>-</w:t>
            </w:r>
            <w:r>
              <w:rPr>
                <w:rFonts w:ascii="Times New Roman" w:hAnsi="Times New Roman" w:cs="Times New Roman"/>
                <w:color w:val="000000"/>
                <w:sz w:val="24"/>
                <w:szCs w:val="24"/>
              </w:rPr>
              <w:t>10</w:t>
            </w:r>
            <w:r>
              <w:rPr>
                <w:rFonts w:ascii="Times New Roman" w:hAnsi="Times New Roman" w:cs="Times New Roman"/>
                <w:color w:val="000000"/>
                <w:sz w:val="24"/>
                <w:szCs w:val="24"/>
                <w:lang w:val="uk-UA"/>
              </w:rPr>
              <w:t>,</w:t>
            </w:r>
          </w:p>
          <w:p>
            <w:pPr>
              <w:tabs>
                <w:tab w:val="left" w:pos="5023"/>
              </w:tabs>
              <w:spacing w:after="0" w:line="240" w:lineRule="atLeast"/>
              <w:ind w:right="13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р/р UA 348201720343110001000135174,</w:t>
            </w:r>
          </w:p>
          <w:p>
            <w:pPr>
              <w:tabs>
                <w:tab w:val="left" w:pos="5023"/>
              </w:tabs>
              <w:spacing w:after="0" w:line="240" w:lineRule="atLeast"/>
              <w:ind w:right="13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р/р UA508201720343101001200135174</w:t>
            </w:r>
          </w:p>
          <w:p>
            <w:pPr>
              <w:tabs>
                <w:tab w:val="left" w:pos="5023"/>
              </w:tabs>
              <w:spacing w:after="0" w:line="240" w:lineRule="atLeast"/>
              <w:ind w:right="13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 Державній казначейській службі України </w:t>
            </w:r>
          </w:p>
          <w:p>
            <w:pPr>
              <w:tabs>
                <w:tab w:val="left" w:pos="5023"/>
              </w:tabs>
              <w:spacing w:after="0" w:line="240" w:lineRule="atLeast"/>
              <w:ind w:right="139"/>
              <w:jc w:val="both"/>
              <w:rPr>
                <w:rFonts w:ascii="Times New Roman" w:hAnsi="Times New Roman" w:cs="Times New Roman"/>
                <w:color w:val="00000A"/>
                <w:sz w:val="24"/>
                <w:szCs w:val="24"/>
                <w:lang w:val="uk-UA"/>
              </w:rPr>
            </w:pPr>
            <w:r>
              <w:rPr>
                <w:rFonts w:ascii="Times New Roman" w:hAnsi="Times New Roman" w:cs="Times New Roman"/>
                <w:color w:val="000000"/>
                <w:sz w:val="24"/>
                <w:szCs w:val="24"/>
                <w:lang w:val="uk-UA"/>
              </w:rPr>
              <w:t>м. Київ,</w:t>
            </w:r>
          </w:p>
          <w:p>
            <w:pPr>
              <w:tabs>
                <w:tab w:val="left" w:pos="5023"/>
              </w:tabs>
              <w:spacing w:after="0" w:line="240" w:lineRule="atLeast"/>
              <w:ind w:right="139"/>
              <w:jc w:val="both"/>
              <w:rPr>
                <w:rFonts w:ascii="Times New Roman" w:hAnsi="Times New Roman" w:cs="Times New Roman"/>
                <w:color w:val="00000A"/>
                <w:sz w:val="24"/>
                <w:szCs w:val="24"/>
                <w:lang w:val="uk-UA"/>
              </w:rPr>
            </w:pPr>
            <w:r>
              <w:rPr>
                <w:rFonts w:ascii="Times New Roman" w:hAnsi="Times New Roman" w:cs="Times New Roman"/>
                <w:color w:val="000000"/>
                <w:sz w:val="24"/>
                <w:szCs w:val="24"/>
                <w:lang w:val="uk-UA"/>
              </w:rPr>
              <w:t>код ЄДРПОУ ВП 44069150</w:t>
            </w:r>
          </w:p>
          <w:p>
            <w:pPr>
              <w:tabs>
                <w:tab w:val="left" w:pos="5023"/>
              </w:tabs>
              <w:spacing w:after="0" w:line="240" w:lineRule="atLeast"/>
              <w:ind w:right="139"/>
              <w:jc w:val="both"/>
              <w:rPr>
                <w:rFonts w:ascii="Times New Roman" w:hAnsi="Times New Roman" w:cs="Times New Roman"/>
                <w:color w:val="00000A"/>
                <w:sz w:val="24"/>
                <w:szCs w:val="24"/>
                <w:lang w:val="uk-UA"/>
              </w:rPr>
            </w:pPr>
            <w:r>
              <w:rPr>
                <w:rFonts w:ascii="Times New Roman" w:hAnsi="Times New Roman" w:cs="Times New Roman"/>
                <w:color w:val="000000"/>
                <w:sz w:val="24"/>
                <w:szCs w:val="24"/>
                <w:lang w:val="uk-UA"/>
              </w:rPr>
              <w:t>МФО 820172</w:t>
            </w:r>
          </w:p>
          <w:p>
            <w:pPr>
              <w:tabs>
                <w:tab w:val="left" w:pos="5023"/>
              </w:tabs>
              <w:spacing w:after="0" w:line="240" w:lineRule="atLeast"/>
              <w:ind w:right="139"/>
              <w:jc w:val="both"/>
              <w:rPr>
                <w:rFonts w:ascii="Times New Roman" w:hAnsi="Times New Roman" w:cs="Times New Roman"/>
                <w:color w:val="00000A"/>
                <w:sz w:val="24"/>
                <w:szCs w:val="24"/>
                <w:lang w:val="uk-UA"/>
              </w:rPr>
            </w:pPr>
            <w:r>
              <w:rPr>
                <w:rFonts w:ascii="Times New Roman" w:hAnsi="Times New Roman" w:cs="Times New Roman"/>
                <w:color w:val="000000"/>
                <w:sz w:val="24"/>
                <w:szCs w:val="24"/>
                <w:lang w:val="uk-UA"/>
              </w:rPr>
              <w:t>E-mail: vin.official@tax.gov.ua</w:t>
            </w:r>
            <w:r>
              <w:rPr>
                <w:rFonts w:ascii="Times New Roman" w:hAnsi="Times New Roman" w:cs="Times New Roman"/>
                <w:color w:val="000000"/>
                <w:sz w:val="24"/>
                <w:szCs w:val="24"/>
                <w:u w:val="single"/>
                <w:lang w:val="uk-UA"/>
              </w:rPr>
              <w:t xml:space="preserve"> </w:t>
            </w:r>
            <w:r>
              <w:rPr>
                <w:rFonts w:ascii="Times New Roman" w:hAnsi="Times New Roman" w:cs="Times New Roman"/>
                <w:color w:val="000000"/>
                <w:sz w:val="24"/>
                <w:szCs w:val="24"/>
                <w:lang w:val="uk-UA"/>
              </w:rPr>
              <w:t xml:space="preserve"> </w:t>
            </w:r>
          </w:p>
          <w:p>
            <w:pPr>
              <w:tabs>
                <w:tab w:val="left" w:pos="5023"/>
              </w:tabs>
              <w:spacing w:after="0" w:line="240" w:lineRule="atLeast"/>
              <w:ind w:left="243" w:right="139" w:hanging="14"/>
              <w:jc w:val="both"/>
              <w:rPr>
                <w:rFonts w:ascii="Times New Roman" w:hAnsi="Times New Roman" w:cs="Times New Roman"/>
                <w:color w:val="000000"/>
                <w:sz w:val="24"/>
                <w:szCs w:val="24"/>
                <w:lang w:val="uk-UA"/>
              </w:rPr>
            </w:pPr>
          </w:p>
          <w:p>
            <w:pPr>
              <w:tabs>
                <w:tab w:val="left" w:pos="5023"/>
              </w:tabs>
              <w:spacing w:after="0" w:line="240" w:lineRule="atLeast"/>
              <w:ind w:left="243" w:right="139" w:hanging="14"/>
              <w:jc w:val="both"/>
              <w:rPr>
                <w:rFonts w:ascii="Times New Roman" w:hAnsi="Times New Roman" w:cs="Times New Roman"/>
                <w:color w:val="000000"/>
                <w:sz w:val="24"/>
                <w:szCs w:val="24"/>
                <w:lang w:val="uk-UA"/>
              </w:rPr>
            </w:pPr>
          </w:p>
          <w:p>
            <w:pPr>
              <w:tabs>
                <w:tab w:val="left" w:pos="5023"/>
              </w:tabs>
              <w:spacing w:after="0" w:line="240" w:lineRule="atLeast"/>
              <w:ind w:right="139"/>
              <w:jc w:val="both"/>
              <w:rPr>
                <w:rFonts w:ascii="Times New Roman" w:hAnsi="Times New Roman" w:cs="Times New Roman"/>
                <w:b/>
                <w:bCs/>
                <w:color w:val="00000A"/>
                <w:sz w:val="24"/>
                <w:szCs w:val="24"/>
                <w:lang w:val="uk-UA"/>
              </w:rPr>
            </w:pPr>
            <w:r>
              <w:rPr>
                <w:rFonts w:ascii="Times New Roman" w:hAnsi="Times New Roman" w:cs="Times New Roman"/>
                <w:b/>
                <w:bCs/>
                <w:color w:val="000000"/>
                <w:sz w:val="24"/>
                <w:szCs w:val="24"/>
                <w:lang w:val="uk-UA"/>
              </w:rPr>
              <w:t>В. о. начальника</w:t>
            </w:r>
          </w:p>
          <w:p>
            <w:pPr>
              <w:tabs>
                <w:tab w:val="left" w:pos="5023"/>
              </w:tabs>
              <w:spacing w:after="0" w:line="240" w:lineRule="atLeast"/>
              <w:ind w:left="243" w:right="139" w:hanging="14"/>
              <w:jc w:val="both"/>
              <w:rPr>
                <w:rFonts w:ascii="Times New Roman" w:hAnsi="Times New Roman" w:cs="Times New Roman"/>
                <w:color w:val="00000A"/>
                <w:sz w:val="24"/>
                <w:szCs w:val="24"/>
                <w:lang w:val="uk-UA"/>
              </w:rPr>
            </w:pPr>
            <w:r>
              <w:rPr>
                <w:rFonts w:ascii="Times New Roman" w:hAnsi="Times New Roman" w:cs="Times New Roman"/>
                <w:color w:val="000000"/>
                <w:sz w:val="24"/>
                <w:szCs w:val="24"/>
                <w:lang w:val="uk-UA"/>
              </w:rPr>
              <w:t xml:space="preserve">                    </w:t>
            </w:r>
          </w:p>
          <w:p>
            <w:pPr>
              <w:spacing w:after="0" w:line="240" w:lineRule="atLeast"/>
              <w:ind w:right="139"/>
              <w:rPr>
                <w:rFonts w:ascii="Times New Roman" w:hAnsi="Times New Roman" w:cs="Times New Roman"/>
                <w:b/>
                <w:bCs/>
                <w:color w:val="00000A"/>
                <w:sz w:val="24"/>
                <w:szCs w:val="24"/>
                <w:lang w:val="uk-UA"/>
              </w:rPr>
            </w:pPr>
            <w:r>
              <w:rPr>
                <w:rFonts w:ascii="Times New Roman" w:hAnsi="Times New Roman" w:cs="Times New Roman"/>
                <w:color w:val="000000"/>
                <w:sz w:val="24"/>
                <w:szCs w:val="24"/>
                <w:lang w:val="uk-UA"/>
              </w:rPr>
              <w:t xml:space="preserve"> ____________________ </w:t>
            </w:r>
            <w:r>
              <w:rPr>
                <w:rFonts w:ascii="Times New Roman" w:hAnsi="Times New Roman" w:cs="Times New Roman"/>
                <w:b/>
                <w:bCs/>
                <w:color w:val="000000"/>
                <w:sz w:val="24"/>
                <w:szCs w:val="24"/>
                <w:lang w:val="uk-UA"/>
              </w:rPr>
              <w:t>Оксана ДОМЕРАТ</w:t>
            </w:r>
          </w:p>
          <w:p>
            <w:pPr>
              <w:spacing w:after="0" w:line="240" w:lineRule="auto"/>
              <w:contextualSpacing/>
              <w:rPr>
                <w:rFonts w:ascii="Times New Roman" w:hAnsi="Times New Roman" w:cs="Times New Roman"/>
                <w:sz w:val="24"/>
                <w:szCs w:val="24"/>
                <w:lang w:val="uk-UA"/>
              </w:rPr>
            </w:pP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М.П.</w:t>
            </w:r>
          </w:p>
        </w:tc>
      </w:tr>
    </w:tbl>
    <w:p>
      <w:pPr>
        <w:suppressAutoHyphens/>
        <w:spacing w:after="0" w:line="240" w:lineRule="atLeast"/>
        <w:ind w:left="235" w:right="-1153" w:firstLine="605"/>
        <w:jc w:val="center"/>
        <w:rPr>
          <w:rFonts w:ascii="Times New Roman" w:hAnsi="Times New Roman" w:cs="Times New Roman"/>
          <w:b/>
          <w:bCs/>
          <w:sz w:val="24"/>
          <w:szCs w:val="24"/>
        </w:rPr>
      </w:pPr>
      <w:r>
        <w:rPr>
          <w:rFonts w:cs="Microsoft Sans Serif"/>
        </w:rPr>
        <w:br w:type="page"/>
      </w:r>
    </w:p>
    <w:p>
      <w:pPr>
        <w:suppressAutoHyphens/>
        <w:spacing w:after="0" w:line="240" w:lineRule="atLeast"/>
        <w:ind w:left="235" w:right="-1153" w:firstLine="605"/>
        <w:jc w:val="center"/>
        <w:rPr>
          <w:rFonts w:ascii="Times New Roman" w:hAnsi="Times New Roman" w:cs="Times New Roman"/>
          <w:sz w:val="20"/>
          <w:szCs w:val="20"/>
          <w:lang w:val="uk-UA"/>
        </w:rPr>
      </w:pPr>
      <w:r>
        <w:rPr>
          <w:rFonts w:ascii="Times New Roman" w:hAnsi="Times New Roman" w:cs="Times New Roman"/>
          <w:b/>
          <w:bCs/>
          <w:sz w:val="24"/>
          <w:szCs w:val="24"/>
          <w:lang w:val="uk-UA"/>
        </w:rPr>
        <w:t xml:space="preserve">                                                                                         </w:t>
      </w:r>
      <w:r>
        <w:rPr>
          <w:rFonts w:ascii="Times New Roman" w:hAnsi="Times New Roman" w:cs="Times New Roman"/>
          <w:sz w:val="20"/>
          <w:szCs w:val="20"/>
          <w:lang w:val="uk-UA"/>
        </w:rPr>
        <w:t>Додаток № 1</w:t>
      </w:r>
    </w:p>
    <w:p>
      <w:pPr>
        <w:suppressAutoHyphens/>
        <w:spacing w:after="0" w:line="240" w:lineRule="atLeast"/>
        <w:ind w:left="235" w:right="-1153" w:firstLine="501"/>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до Договору № ______</w:t>
      </w:r>
    </w:p>
    <w:p>
      <w:pPr>
        <w:suppressAutoHyphens/>
        <w:spacing w:after="0" w:line="240" w:lineRule="atLeast"/>
        <w:ind w:left="235" w:right="-1153" w:firstLine="501"/>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від ____ ____________ 2024 р</w:t>
      </w:r>
    </w:p>
    <w:p>
      <w:pPr>
        <w:suppressAutoHyphens/>
        <w:spacing w:after="0" w:line="240" w:lineRule="atLeast"/>
        <w:ind w:left="235" w:right="-1153" w:firstLine="501"/>
        <w:jc w:val="center"/>
        <w:rPr>
          <w:rFonts w:ascii="Times New Roman" w:hAnsi="Times New Roman" w:cs="Times New Roman"/>
          <w:sz w:val="20"/>
          <w:szCs w:val="20"/>
          <w:lang w:val="uk-UA"/>
        </w:rPr>
      </w:pPr>
    </w:p>
    <w:p>
      <w:pPr>
        <w:suppressAutoHyphens/>
        <w:spacing w:after="0" w:line="240" w:lineRule="atLeast"/>
        <w:ind w:left="235" w:right="-1153" w:firstLine="501"/>
        <w:jc w:val="center"/>
        <w:rPr>
          <w:rFonts w:ascii="Times New Roman" w:hAnsi="Times New Roman" w:cs="Times New Roman"/>
          <w:sz w:val="20"/>
          <w:szCs w:val="20"/>
          <w:lang w:val="uk-UA"/>
        </w:rPr>
      </w:pPr>
    </w:p>
    <w:p>
      <w:pPr>
        <w:suppressAutoHyphens/>
        <w:spacing w:after="0" w:line="240" w:lineRule="auto"/>
        <w:ind w:left="235" w:right="-1153" w:firstLine="806"/>
        <w:jc w:val="center"/>
        <w:rPr>
          <w:rFonts w:ascii="Times New Roman" w:hAnsi="Times New Roman" w:cs="Times New Roman"/>
          <w:b/>
          <w:bCs/>
          <w:sz w:val="28"/>
          <w:szCs w:val="28"/>
        </w:rPr>
      </w:pPr>
      <w:r>
        <w:rPr>
          <w:rFonts w:ascii="Times New Roman" w:hAnsi="Times New Roman" w:cs="Times New Roman"/>
          <w:b/>
          <w:bCs/>
          <w:sz w:val="28"/>
          <w:szCs w:val="28"/>
          <w:lang w:val="uk-UA"/>
        </w:rPr>
        <w:t>ПЕРЕЛІК ОБЛАДНАННЯ ТА ВАРТІСТЬ ПОСЛУГ</w:t>
      </w:r>
    </w:p>
    <w:p>
      <w:pPr>
        <w:numPr>
          <w:ilvl w:val="0"/>
          <w:numId w:val="2"/>
        </w:numPr>
        <w:suppressAutoHyphens/>
        <w:spacing w:after="0" w:line="240" w:lineRule="auto"/>
        <w:ind w:right="-1151" w:firstLine="709"/>
        <w:jc w:val="both"/>
        <w:rPr>
          <w:rFonts w:ascii="Times New Roman" w:hAnsi="Times New Roman" w:cs="Times New Roman"/>
          <w:sz w:val="24"/>
          <w:szCs w:val="24"/>
        </w:rPr>
      </w:pPr>
      <w:r>
        <w:rPr>
          <w:rFonts w:ascii="Times New Roman" w:hAnsi="Times New Roman" w:cs="Times New Roman"/>
          <w:sz w:val="24"/>
          <w:szCs w:val="24"/>
          <w:lang w:val="uk-UA"/>
        </w:rPr>
        <w:t>Послуги за Договором надаються щодо Обладнання та за ціною, погодженими Сторонами у цьому додатку:</w:t>
      </w:r>
    </w:p>
    <w:tbl>
      <w:tblPr>
        <w:tblStyle w:val="7"/>
        <w:tblW w:w="10283" w:type="dxa"/>
        <w:tblInd w:w="-15" w:type="dxa"/>
        <w:tblLayout w:type="fixed"/>
        <w:tblCellMar>
          <w:top w:w="0" w:type="dxa"/>
          <w:left w:w="10" w:type="dxa"/>
          <w:bottom w:w="0" w:type="dxa"/>
          <w:right w:w="10" w:type="dxa"/>
        </w:tblCellMar>
      </w:tblPr>
      <w:tblGrid>
        <w:gridCol w:w="335"/>
        <w:gridCol w:w="1002"/>
        <w:gridCol w:w="1158"/>
        <w:gridCol w:w="542"/>
        <w:gridCol w:w="600"/>
        <w:gridCol w:w="588"/>
        <w:gridCol w:w="550"/>
        <w:gridCol w:w="400"/>
        <w:gridCol w:w="737"/>
        <w:gridCol w:w="903"/>
        <w:gridCol w:w="1080"/>
        <w:gridCol w:w="460"/>
        <w:gridCol w:w="620"/>
        <w:gridCol w:w="1308"/>
      </w:tblGrid>
      <w:tr>
        <w:tblPrEx>
          <w:tblLayout w:type="fixed"/>
          <w:tblCellMar>
            <w:top w:w="0" w:type="dxa"/>
            <w:left w:w="10" w:type="dxa"/>
            <w:bottom w:w="0" w:type="dxa"/>
            <w:right w:w="10" w:type="dxa"/>
          </w:tblCellMar>
        </w:tblPrEx>
        <w:trPr>
          <w:trHeight w:val="1339" w:hRule="exact"/>
        </w:trPr>
        <w:tc>
          <w:tcPr>
            <w:tcW w:w="335" w:type="dxa"/>
            <w:tcBorders>
              <w:top w:val="single" w:color="000000" w:sz="4" w:space="0"/>
              <w:left w:val="single" w:color="000000" w:sz="4" w:space="0"/>
            </w:tcBorders>
            <w:shd w:val="clear" w:color="auto" w:fill="FFFFFF"/>
            <w:vAlign w:val="center"/>
          </w:tcPr>
          <w:p>
            <w:pPr>
              <w:pStyle w:val="18"/>
              <w:spacing w:line="240" w:lineRule="auto"/>
              <w:jc w:val="center"/>
              <w:rPr>
                <w:rFonts w:cs="Microsoft Sans Serif"/>
                <w:sz w:val="21"/>
                <w:szCs w:val="21"/>
              </w:rPr>
            </w:pPr>
            <w:r>
              <w:rPr>
                <w:color w:val="000000"/>
                <w:sz w:val="21"/>
                <w:szCs w:val="21"/>
                <w:lang w:val="uk-UA"/>
              </w:rPr>
              <w:t>№</w:t>
            </w:r>
          </w:p>
        </w:tc>
        <w:tc>
          <w:tcPr>
            <w:tcW w:w="1002" w:type="dxa"/>
            <w:tcBorders>
              <w:top w:val="single" w:color="000000" w:sz="4" w:space="0"/>
              <w:left w:val="single" w:color="000000" w:sz="4" w:space="0"/>
            </w:tcBorders>
            <w:shd w:val="clear" w:color="auto" w:fill="FFFFFF"/>
            <w:vAlign w:val="center"/>
          </w:tcPr>
          <w:p>
            <w:pPr>
              <w:pStyle w:val="18"/>
              <w:spacing w:line="240" w:lineRule="auto"/>
              <w:jc w:val="center"/>
              <w:rPr>
                <w:rFonts w:cs="Microsoft Sans Serif"/>
                <w:sz w:val="21"/>
                <w:szCs w:val="21"/>
              </w:rPr>
            </w:pPr>
            <w:r>
              <w:rPr>
                <w:color w:val="000000"/>
                <w:sz w:val="21"/>
                <w:szCs w:val="21"/>
                <w:lang w:val="uk-UA"/>
              </w:rPr>
              <w:t>Місто</w:t>
            </w:r>
          </w:p>
        </w:tc>
        <w:tc>
          <w:tcPr>
            <w:tcW w:w="1158" w:type="dxa"/>
            <w:tcBorders>
              <w:top w:val="single" w:color="000000" w:sz="4" w:space="0"/>
              <w:left w:val="single" w:color="000000" w:sz="4" w:space="0"/>
            </w:tcBorders>
            <w:shd w:val="clear" w:color="auto" w:fill="FFFFFF"/>
            <w:vAlign w:val="center"/>
          </w:tcPr>
          <w:p>
            <w:pPr>
              <w:pStyle w:val="18"/>
              <w:spacing w:line="240" w:lineRule="auto"/>
              <w:rPr>
                <w:rFonts w:cs="Microsoft Sans Serif"/>
                <w:sz w:val="21"/>
                <w:szCs w:val="21"/>
              </w:rPr>
            </w:pPr>
            <w:r>
              <w:rPr>
                <w:color w:val="000000"/>
                <w:sz w:val="21"/>
                <w:szCs w:val="21"/>
                <w:lang w:val="uk-UA"/>
              </w:rPr>
              <w:t>Вулиця</w:t>
            </w:r>
          </w:p>
        </w:tc>
        <w:tc>
          <w:tcPr>
            <w:tcW w:w="542" w:type="dxa"/>
            <w:tcBorders>
              <w:top w:val="single" w:color="000000" w:sz="4" w:space="0"/>
              <w:left w:val="single" w:color="000000" w:sz="4" w:space="0"/>
            </w:tcBorders>
            <w:shd w:val="clear" w:color="auto" w:fill="FFFFFF"/>
            <w:vAlign w:val="center"/>
          </w:tcPr>
          <w:p>
            <w:pPr>
              <w:pStyle w:val="18"/>
              <w:spacing w:line="240" w:lineRule="auto"/>
              <w:rPr>
                <w:rFonts w:cs="Microsoft Sans Serif"/>
                <w:sz w:val="21"/>
                <w:szCs w:val="21"/>
              </w:rPr>
            </w:pPr>
            <w:r>
              <w:rPr>
                <w:color w:val="000000"/>
                <w:sz w:val="21"/>
                <w:szCs w:val="21"/>
                <w:lang w:val="uk-UA"/>
              </w:rPr>
              <w:t>Будинок</w:t>
            </w:r>
          </w:p>
        </w:tc>
        <w:tc>
          <w:tcPr>
            <w:tcW w:w="600" w:type="dxa"/>
            <w:tcBorders>
              <w:top w:val="single" w:color="000000" w:sz="4" w:space="0"/>
              <w:left w:val="single" w:color="000000" w:sz="4" w:space="0"/>
            </w:tcBorders>
            <w:shd w:val="clear" w:color="auto" w:fill="FFFFFF"/>
            <w:vAlign w:val="center"/>
          </w:tcPr>
          <w:p>
            <w:pPr>
              <w:pStyle w:val="18"/>
              <w:spacing w:line="240" w:lineRule="auto"/>
              <w:rPr>
                <w:rFonts w:cs="Microsoft Sans Serif"/>
                <w:sz w:val="21"/>
                <w:szCs w:val="21"/>
              </w:rPr>
            </w:pPr>
            <w:r>
              <w:rPr>
                <w:color w:val="000000"/>
                <w:sz w:val="21"/>
                <w:szCs w:val="21"/>
                <w:lang w:val="uk-UA"/>
              </w:rPr>
              <w:t>Реєстр.№</w:t>
            </w:r>
          </w:p>
        </w:tc>
        <w:tc>
          <w:tcPr>
            <w:tcW w:w="588" w:type="dxa"/>
            <w:tcBorders>
              <w:top w:val="single" w:color="000000" w:sz="4" w:space="0"/>
              <w:left w:val="single" w:color="000000" w:sz="4" w:space="0"/>
            </w:tcBorders>
            <w:shd w:val="clear" w:color="auto" w:fill="FFFFFF"/>
            <w:vAlign w:val="center"/>
          </w:tcPr>
          <w:p>
            <w:pPr>
              <w:pStyle w:val="18"/>
              <w:spacing w:line="240" w:lineRule="auto"/>
              <w:jc w:val="center"/>
              <w:rPr>
                <w:rFonts w:cs="Microsoft Sans Serif"/>
                <w:sz w:val="21"/>
                <w:szCs w:val="21"/>
              </w:rPr>
            </w:pPr>
            <w:r>
              <w:rPr>
                <w:color w:val="000000"/>
                <w:sz w:val="21"/>
                <w:szCs w:val="21"/>
                <w:lang w:val="uk-UA"/>
              </w:rPr>
              <w:t>Заводський</w:t>
            </w:r>
          </w:p>
          <w:p>
            <w:pPr>
              <w:pStyle w:val="18"/>
              <w:spacing w:line="240" w:lineRule="auto"/>
              <w:jc w:val="center"/>
              <w:rPr>
                <w:rFonts w:cs="Microsoft Sans Serif"/>
                <w:sz w:val="21"/>
                <w:szCs w:val="21"/>
              </w:rPr>
            </w:pPr>
            <w:r>
              <w:rPr>
                <w:color w:val="000000"/>
                <w:sz w:val="21"/>
                <w:szCs w:val="21"/>
                <w:lang w:val="uk-UA"/>
              </w:rPr>
              <w:t>№</w:t>
            </w:r>
          </w:p>
        </w:tc>
        <w:tc>
          <w:tcPr>
            <w:tcW w:w="550" w:type="dxa"/>
            <w:tcBorders>
              <w:top w:val="single" w:color="000000" w:sz="4" w:space="0"/>
              <w:left w:val="single" w:color="000000" w:sz="4" w:space="0"/>
            </w:tcBorders>
            <w:shd w:val="clear" w:color="auto" w:fill="FFFFFF"/>
            <w:vAlign w:val="center"/>
          </w:tcPr>
          <w:p>
            <w:pPr>
              <w:pStyle w:val="18"/>
              <w:spacing w:line="240" w:lineRule="auto"/>
              <w:rPr>
                <w:rFonts w:cs="Microsoft Sans Serif"/>
                <w:sz w:val="21"/>
                <w:szCs w:val="21"/>
              </w:rPr>
            </w:pPr>
            <w:r>
              <w:rPr>
                <w:color w:val="000000"/>
                <w:sz w:val="21"/>
                <w:szCs w:val="21"/>
                <w:lang w:val="uk-UA"/>
              </w:rPr>
              <w:t>Тип ліфта</w:t>
            </w:r>
          </w:p>
        </w:tc>
        <w:tc>
          <w:tcPr>
            <w:tcW w:w="400" w:type="dxa"/>
            <w:tcBorders>
              <w:top w:val="single" w:color="000000" w:sz="4" w:space="0"/>
              <w:left w:val="single" w:color="000000" w:sz="4" w:space="0"/>
            </w:tcBorders>
            <w:shd w:val="clear" w:color="auto" w:fill="FFFFFF"/>
            <w:vAlign w:val="center"/>
          </w:tcPr>
          <w:p>
            <w:pPr>
              <w:pStyle w:val="18"/>
              <w:spacing w:line="240" w:lineRule="auto"/>
              <w:jc w:val="center"/>
              <w:rPr>
                <w:rFonts w:cs="Microsoft Sans Serif"/>
                <w:sz w:val="21"/>
                <w:szCs w:val="21"/>
              </w:rPr>
            </w:pPr>
            <w:r>
              <w:rPr>
                <w:color w:val="000000"/>
                <w:sz w:val="21"/>
                <w:szCs w:val="21"/>
                <w:lang w:val="uk-UA"/>
              </w:rPr>
              <w:t>в/п,</w:t>
            </w:r>
          </w:p>
          <w:p>
            <w:pPr>
              <w:pStyle w:val="18"/>
              <w:spacing w:line="240" w:lineRule="auto"/>
              <w:jc w:val="center"/>
              <w:rPr>
                <w:rFonts w:cs="Microsoft Sans Serif"/>
                <w:sz w:val="21"/>
                <w:szCs w:val="21"/>
              </w:rPr>
            </w:pPr>
            <w:r>
              <w:rPr>
                <w:color w:val="000000"/>
                <w:sz w:val="21"/>
                <w:szCs w:val="21"/>
                <w:lang w:val="uk-UA"/>
              </w:rPr>
              <w:t>кг</w:t>
            </w:r>
          </w:p>
        </w:tc>
        <w:tc>
          <w:tcPr>
            <w:tcW w:w="737" w:type="dxa"/>
            <w:tcBorders>
              <w:top w:val="single" w:color="000000" w:sz="4" w:space="0"/>
              <w:left w:val="single" w:color="000000" w:sz="4" w:space="0"/>
            </w:tcBorders>
            <w:shd w:val="clear" w:color="auto" w:fill="FFFFFF"/>
            <w:vAlign w:val="center"/>
          </w:tcPr>
          <w:p>
            <w:pPr>
              <w:pStyle w:val="18"/>
              <w:spacing w:line="240" w:lineRule="auto"/>
              <w:jc w:val="center"/>
              <w:rPr>
                <w:rFonts w:cs="Microsoft Sans Serif"/>
                <w:sz w:val="21"/>
                <w:szCs w:val="21"/>
              </w:rPr>
            </w:pPr>
            <w:r>
              <w:rPr>
                <w:color w:val="000000"/>
                <w:sz w:val="21"/>
                <w:szCs w:val="21"/>
                <w:lang w:val="uk-UA"/>
              </w:rPr>
              <w:t>К-ть поверхів</w:t>
            </w:r>
          </w:p>
        </w:tc>
        <w:tc>
          <w:tcPr>
            <w:tcW w:w="903" w:type="dxa"/>
            <w:tcBorders>
              <w:top w:val="single" w:color="000000" w:sz="4" w:space="0"/>
              <w:left w:val="single" w:color="000000" w:sz="4" w:space="0"/>
            </w:tcBorders>
            <w:shd w:val="clear" w:color="auto" w:fill="FFFFFF"/>
            <w:vAlign w:val="center"/>
          </w:tcPr>
          <w:p>
            <w:pPr>
              <w:pStyle w:val="18"/>
              <w:spacing w:line="240" w:lineRule="auto"/>
              <w:jc w:val="center"/>
              <w:rPr>
                <w:rFonts w:cs="Microsoft Sans Serif"/>
                <w:sz w:val="21"/>
                <w:szCs w:val="21"/>
              </w:rPr>
            </w:pPr>
            <w:r>
              <w:rPr>
                <w:color w:val="000000"/>
                <w:sz w:val="21"/>
                <w:szCs w:val="21"/>
                <w:lang w:val="uk-UA"/>
              </w:rPr>
              <w:t>Швидкість, м/с</w:t>
            </w:r>
          </w:p>
        </w:tc>
        <w:tc>
          <w:tcPr>
            <w:tcW w:w="1080" w:type="dxa"/>
            <w:tcBorders>
              <w:top w:val="single" w:color="000000" w:sz="4" w:space="0"/>
              <w:left w:val="single" w:color="000000" w:sz="4" w:space="0"/>
            </w:tcBorders>
            <w:shd w:val="clear" w:color="auto" w:fill="FFFFFF"/>
            <w:vAlign w:val="center"/>
          </w:tcPr>
          <w:p>
            <w:pPr>
              <w:pStyle w:val="18"/>
              <w:spacing w:line="240" w:lineRule="auto"/>
              <w:jc w:val="center"/>
              <w:rPr>
                <w:rFonts w:cs="Microsoft Sans Serif"/>
                <w:sz w:val="21"/>
                <w:szCs w:val="21"/>
              </w:rPr>
            </w:pPr>
            <w:r>
              <w:rPr>
                <w:color w:val="000000"/>
                <w:sz w:val="21"/>
                <w:szCs w:val="21"/>
                <w:lang w:val="uk-UA"/>
              </w:rPr>
              <w:t>/Рік введ. в експлуатац ію</w:t>
            </w:r>
          </w:p>
        </w:tc>
        <w:tc>
          <w:tcPr>
            <w:tcW w:w="460" w:type="dxa"/>
            <w:tcBorders>
              <w:top w:val="single" w:color="000000" w:sz="4" w:space="0"/>
              <w:left w:val="single" w:color="000000" w:sz="4" w:space="0"/>
            </w:tcBorders>
            <w:shd w:val="clear" w:color="auto" w:fill="FFFFFF"/>
            <w:vAlign w:val="center"/>
          </w:tcPr>
          <w:p>
            <w:pPr>
              <w:pStyle w:val="18"/>
              <w:spacing w:line="240" w:lineRule="auto"/>
              <w:rPr>
                <w:rFonts w:cs="Microsoft Sans Serif"/>
                <w:sz w:val="21"/>
                <w:szCs w:val="21"/>
              </w:rPr>
            </w:pPr>
            <w:r>
              <w:rPr>
                <w:color w:val="000000"/>
                <w:sz w:val="21"/>
                <w:szCs w:val="21"/>
                <w:lang w:val="uk-UA"/>
              </w:rPr>
              <w:t>Дисп.</w:t>
            </w:r>
          </w:p>
        </w:tc>
        <w:tc>
          <w:tcPr>
            <w:tcW w:w="620" w:type="dxa"/>
            <w:tcBorders>
              <w:top w:val="single" w:color="000000" w:sz="4" w:space="0"/>
              <w:left w:val="single" w:color="000000" w:sz="4" w:space="0"/>
            </w:tcBorders>
            <w:shd w:val="clear" w:color="auto" w:fill="FFFFFF"/>
            <w:vAlign w:val="center"/>
          </w:tcPr>
          <w:p>
            <w:pPr>
              <w:pStyle w:val="18"/>
              <w:spacing w:line="240" w:lineRule="auto"/>
              <w:jc w:val="center"/>
              <w:rPr>
                <w:rFonts w:cs="Microsoft Sans Serif"/>
                <w:sz w:val="21"/>
                <w:szCs w:val="21"/>
              </w:rPr>
            </w:pPr>
            <w:r>
              <w:rPr>
                <w:color w:val="000000"/>
                <w:sz w:val="21"/>
                <w:szCs w:val="21"/>
                <w:lang w:val="uk-UA"/>
              </w:rPr>
              <w:t>Тип НКП (СК)</w:t>
            </w:r>
          </w:p>
        </w:tc>
        <w:tc>
          <w:tcPr>
            <w:tcW w:w="1308" w:type="dxa"/>
            <w:tcBorders>
              <w:top w:val="single" w:color="000000" w:sz="4" w:space="0"/>
              <w:left w:val="single" w:color="000000" w:sz="4" w:space="0"/>
              <w:right w:val="single" w:color="000000" w:sz="4" w:space="0"/>
            </w:tcBorders>
            <w:shd w:val="clear" w:color="auto" w:fill="FFFFFF"/>
            <w:vAlign w:val="center"/>
          </w:tcPr>
          <w:p>
            <w:pPr>
              <w:pStyle w:val="18"/>
              <w:spacing w:line="240" w:lineRule="auto"/>
              <w:jc w:val="center"/>
              <w:rPr>
                <w:rFonts w:cs="Microsoft Sans Serif"/>
                <w:sz w:val="21"/>
                <w:szCs w:val="21"/>
              </w:rPr>
            </w:pPr>
            <w:r>
              <w:rPr>
                <w:color w:val="000000"/>
                <w:sz w:val="21"/>
                <w:szCs w:val="21"/>
                <w:lang w:val="uk-UA"/>
              </w:rPr>
              <w:t>Вартість, грн. (без ПДВ) на місяць</w:t>
            </w:r>
          </w:p>
        </w:tc>
      </w:tr>
      <w:tr>
        <w:tblPrEx>
          <w:tblLayout w:type="fixed"/>
          <w:tblCellMar>
            <w:top w:w="0" w:type="dxa"/>
            <w:left w:w="10" w:type="dxa"/>
            <w:bottom w:w="0" w:type="dxa"/>
            <w:right w:w="10" w:type="dxa"/>
          </w:tblCellMar>
        </w:tblPrEx>
        <w:trPr>
          <w:trHeight w:val="456" w:hRule="exact"/>
        </w:trPr>
        <w:tc>
          <w:tcPr>
            <w:tcW w:w="335"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1</w:t>
            </w:r>
          </w:p>
        </w:tc>
        <w:tc>
          <w:tcPr>
            <w:tcW w:w="1002" w:type="dxa"/>
            <w:tcBorders>
              <w:top w:val="single" w:color="000000" w:sz="4" w:space="0"/>
              <w:left w:val="single" w:color="000000" w:sz="4" w:space="0"/>
            </w:tcBorders>
            <w:shd w:val="clear" w:color="auto" w:fill="FFFFFF"/>
          </w:tcPr>
          <w:p>
            <w:pPr>
              <w:pStyle w:val="18"/>
              <w:spacing w:line="240" w:lineRule="auto"/>
              <w:rPr>
                <w:rFonts w:cs="Microsoft Sans Serif"/>
                <w:sz w:val="21"/>
                <w:szCs w:val="21"/>
              </w:rPr>
            </w:pPr>
            <w:r>
              <w:rPr>
                <w:color w:val="000000"/>
                <w:sz w:val="21"/>
                <w:szCs w:val="21"/>
                <w:lang w:val="uk-UA"/>
              </w:rPr>
              <w:t>Вінниця</w:t>
            </w:r>
          </w:p>
        </w:tc>
        <w:tc>
          <w:tcPr>
            <w:tcW w:w="1158" w:type="dxa"/>
            <w:tcBorders>
              <w:top w:val="single" w:color="000000" w:sz="4" w:space="0"/>
              <w:left w:val="single" w:color="000000" w:sz="4" w:space="0"/>
            </w:tcBorders>
            <w:shd w:val="clear" w:color="auto" w:fill="FFFFFF"/>
          </w:tcPr>
          <w:p>
            <w:pPr>
              <w:pStyle w:val="18"/>
              <w:spacing w:line="240" w:lineRule="auto"/>
              <w:rPr>
                <w:rFonts w:cs="Microsoft Sans Serif"/>
                <w:sz w:val="21"/>
                <w:szCs w:val="21"/>
              </w:rPr>
            </w:pPr>
            <w:r>
              <w:rPr>
                <w:color w:val="000000"/>
                <w:sz w:val="21"/>
                <w:szCs w:val="21"/>
                <w:lang w:val="uk-UA"/>
              </w:rPr>
              <w:t>К.Василенка</w:t>
            </w:r>
          </w:p>
        </w:tc>
        <w:tc>
          <w:tcPr>
            <w:tcW w:w="542" w:type="dxa"/>
            <w:tcBorders>
              <w:top w:val="single" w:color="000000" w:sz="4" w:space="0"/>
              <w:left w:val="single" w:color="000000" w:sz="4" w:space="0"/>
            </w:tcBorders>
            <w:shd w:val="clear" w:color="auto" w:fill="FFFFFF"/>
          </w:tcPr>
          <w:p>
            <w:pPr>
              <w:widowControl w:val="0"/>
              <w:rPr>
                <w:rFonts w:ascii="Times New Roman" w:hAnsi="Times New Roman" w:cs="Times New Roman"/>
              </w:rPr>
            </w:pPr>
            <w:r>
              <w:rPr>
                <w:rFonts w:ascii="Times New Roman" w:hAnsi="Times New Roman" w:cs="Times New Roman"/>
                <w:color w:val="000000"/>
                <w:lang w:val="uk-UA"/>
              </w:rPr>
              <w:t>21</w:t>
            </w:r>
          </w:p>
        </w:tc>
        <w:tc>
          <w:tcPr>
            <w:tcW w:w="600"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1247</w:t>
            </w:r>
          </w:p>
        </w:tc>
        <w:tc>
          <w:tcPr>
            <w:tcW w:w="588" w:type="dxa"/>
            <w:tcBorders>
              <w:top w:val="single" w:color="000000" w:sz="4" w:space="0"/>
              <w:left w:val="single" w:color="000000" w:sz="4" w:space="0"/>
            </w:tcBorders>
            <w:shd w:val="clear" w:color="auto" w:fill="FFFFFF"/>
          </w:tcPr>
          <w:p>
            <w:pPr>
              <w:widowControl w:val="0"/>
              <w:rPr>
                <w:rFonts w:ascii="Times New Roman" w:hAnsi="Times New Roman" w:cs="Times New Roman"/>
              </w:rPr>
            </w:pPr>
            <w:r>
              <w:rPr>
                <w:rFonts w:ascii="Times New Roman" w:hAnsi="Times New Roman" w:cs="Times New Roman"/>
                <w:color w:val="000000"/>
                <w:lang w:val="uk-UA"/>
              </w:rPr>
              <w:t>1539</w:t>
            </w:r>
          </w:p>
        </w:tc>
        <w:tc>
          <w:tcPr>
            <w:tcW w:w="550"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ПАС</w:t>
            </w:r>
          </w:p>
        </w:tc>
        <w:tc>
          <w:tcPr>
            <w:tcW w:w="400"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500</w:t>
            </w:r>
          </w:p>
        </w:tc>
        <w:tc>
          <w:tcPr>
            <w:tcW w:w="737"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9</w:t>
            </w:r>
          </w:p>
        </w:tc>
        <w:tc>
          <w:tcPr>
            <w:tcW w:w="903"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1,0</w:t>
            </w:r>
          </w:p>
        </w:tc>
        <w:tc>
          <w:tcPr>
            <w:tcW w:w="1080"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2010</w:t>
            </w:r>
          </w:p>
        </w:tc>
        <w:tc>
          <w:tcPr>
            <w:tcW w:w="460" w:type="dxa"/>
            <w:tcBorders>
              <w:top w:val="single" w:color="000000" w:sz="4" w:space="0"/>
              <w:left w:val="single" w:color="000000" w:sz="4" w:space="0"/>
            </w:tcBorders>
            <w:shd w:val="clear" w:color="auto" w:fill="FFFFFF"/>
          </w:tcPr>
          <w:p>
            <w:pPr>
              <w:widowControl w:val="0"/>
              <w:snapToGrid w:val="0"/>
              <w:jc w:val="center"/>
              <w:rPr>
                <w:rFonts w:ascii="Times New Roman" w:hAnsi="Times New Roman" w:cs="Times New Roman"/>
                <w:color w:val="000000"/>
                <w:lang w:val="uk-UA"/>
              </w:rPr>
            </w:pPr>
          </w:p>
        </w:tc>
        <w:tc>
          <w:tcPr>
            <w:tcW w:w="620" w:type="dxa"/>
            <w:tcBorders>
              <w:top w:val="single" w:color="000000" w:sz="4" w:space="0"/>
              <w:left w:val="single" w:color="000000" w:sz="4" w:space="0"/>
            </w:tcBorders>
            <w:shd w:val="clear" w:color="auto" w:fill="FFFFFF"/>
          </w:tcPr>
          <w:p>
            <w:pPr>
              <w:widowControl w:val="0"/>
              <w:snapToGrid w:val="0"/>
              <w:jc w:val="center"/>
              <w:rPr>
                <w:rFonts w:ascii="Times New Roman" w:hAnsi="Times New Roman" w:cs="Times New Roman"/>
                <w:color w:val="000000"/>
                <w:lang w:val="uk-UA"/>
              </w:rPr>
            </w:pPr>
          </w:p>
        </w:tc>
        <w:tc>
          <w:tcPr>
            <w:tcW w:w="1308" w:type="dxa"/>
            <w:tcBorders>
              <w:top w:val="single" w:color="000000" w:sz="4" w:space="0"/>
              <w:left w:val="single" w:color="000000" w:sz="4" w:space="0"/>
              <w:right w:val="single" w:color="000000" w:sz="4" w:space="0"/>
            </w:tcBorders>
            <w:shd w:val="clear" w:color="auto" w:fill="FFFFFF"/>
          </w:tcPr>
          <w:p>
            <w:pPr>
              <w:pStyle w:val="18"/>
              <w:snapToGrid w:val="0"/>
              <w:spacing w:line="240" w:lineRule="auto"/>
              <w:jc w:val="center"/>
              <w:rPr>
                <w:rFonts w:cs="Microsoft Sans Serif"/>
                <w:color w:val="000000"/>
                <w:sz w:val="21"/>
                <w:szCs w:val="21"/>
                <w:lang w:val="uk-UA"/>
              </w:rPr>
            </w:pPr>
          </w:p>
        </w:tc>
      </w:tr>
      <w:tr>
        <w:tblPrEx>
          <w:tblLayout w:type="fixed"/>
          <w:tblCellMar>
            <w:top w:w="0" w:type="dxa"/>
            <w:left w:w="10" w:type="dxa"/>
            <w:bottom w:w="0" w:type="dxa"/>
            <w:right w:w="10" w:type="dxa"/>
          </w:tblCellMar>
        </w:tblPrEx>
        <w:trPr>
          <w:trHeight w:val="456" w:hRule="exact"/>
        </w:trPr>
        <w:tc>
          <w:tcPr>
            <w:tcW w:w="335"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1</w:t>
            </w:r>
          </w:p>
        </w:tc>
        <w:tc>
          <w:tcPr>
            <w:tcW w:w="1002" w:type="dxa"/>
            <w:tcBorders>
              <w:top w:val="single" w:color="000000" w:sz="4" w:space="0"/>
              <w:left w:val="single" w:color="000000" w:sz="4" w:space="0"/>
            </w:tcBorders>
            <w:shd w:val="clear" w:color="auto" w:fill="FFFFFF"/>
          </w:tcPr>
          <w:p>
            <w:pPr>
              <w:pStyle w:val="18"/>
              <w:spacing w:line="240" w:lineRule="auto"/>
              <w:rPr>
                <w:rFonts w:cs="Microsoft Sans Serif"/>
                <w:sz w:val="21"/>
                <w:szCs w:val="21"/>
              </w:rPr>
            </w:pPr>
            <w:r>
              <w:rPr>
                <w:color w:val="000000"/>
                <w:sz w:val="21"/>
                <w:szCs w:val="21"/>
                <w:lang w:val="uk-UA"/>
              </w:rPr>
              <w:t>Вінниця</w:t>
            </w:r>
          </w:p>
        </w:tc>
        <w:tc>
          <w:tcPr>
            <w:tcW w:w="1158" w:type="dxa"/>
            <w:tcBorders>
              <w:top w:val="single" w:color="000000" w:sz="4" w:space="0"/>
              <w:left w:val="single" w:color="000000" w:sz="4" w:space="0"/>
            </w:tcBorders>
            <w:shd w:val="clear" w:color="auto" w:fill="FFFFFF"/>
          </w:tcPr>
          <w:p>
            <w:pPr>
              <w:pStyle w:val="18"/>
              <w:spacing w:line="240" w:lineRule="auto"/>
              <w:rPr>
                <w:rFonts w:cs="Microsoft Sans Serif"/>
                <w:sz w:val="21"/>
                <w:szCs w:val="21"/>
              </w:rPr>
            </w:pPr>
            <w:r>
              <w:rPr>
                <w:color w:val="000000"/>
                <w:sz w:val="21"/>
                <w:szCs w:val="21"/>
                <w:lang w:val="uk-UA"/>
              </w:rPr>
              <w:t>К.Василенка</w:t>
            </w:r>
          </w:p>
        </w:tc>
        <w:tc>
          <w:tcPr>
            <w:tcW w:w="542" w:type="dxa"/>
            <w:tcBorders>
              <w:top w:val="single" w:color="000000" w:sz="4" w:space="0"/>
              <w:left w:val="single" w:color="000000" w:sz="4" w:space="0"/>
            </w:tcBorders>
            <w:shd w:val="clear" w:color="auto" w:fill="FFFFFF"/>
          </w:tcPr>
          <w:p>
            <w:pPr>
              <w:widowControl w:val="0"/>
              <w:rPr>
                <w:rFonts w:ascii="Times New Roman" w:hAnsi="Times New Roman" w:cs="Times New Roman"/>
              </w:rPr>
            </w:pPr>
            <w:r>
              <w:rPr>
                <w:rFonts w:ascii="Times New Roman" w:hAnsi="Times New Roman" w:cs="Times New Roman"/>
                <w:color w:val="000000"/>
                <w:lang w:val="uk-UA"/>
              </w:rPr>
              <w:t>21</w:t>
            </w:r>
          </w:p>
        </w:tc>
        <w:tc>
          <w:tcPr>
            <w:tcW w:w="600"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1248</w:t>
            </w:r>
          </w:p>
        </w:tc>
        <w:tc>
          <w:tcPr>
            <w:tcW w:w="588" w:type="dxa"/>
            <w:tcBorders>
              <w:top w:val="single" w:color="000000" w:sz="4" w:space="0"/>
              <w:left w:val="single" w:color="000000" w:sz="4" w:space="0"/>
            </w:tcBorders>
            <w:shd w:val="clear" w:color="auto" w:fill="FFFFFF"/>
          </w:tcPr>
          <w:p>
            <w:pPr>
              <w:widowControl w:val="0"/>
              <w:rPr>
                <w:rFonts w:ascii="Times New Roman" w:hAnsi="Times New Roman" w:cs="Times New Roman"/>
              </w:rPr>
            </w:pPr>
            <w:r>
              <w:rPr>
                <w:rFonts w:ascii="Times New Roman" w:hAnsi="Times New Roman" w:cs="Times New Roman"/>
                <w:color w:val="000000"/>
                <w:lang w:val="uk-UA"/>
              </w:rPr>
              <w:t>1537</w:t>
            </w:r>
          </w:p>
        </w:tc>
        <w:tc>
          <w:tcPr>
            <w:tcW w:w="550"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ПАС</w:t>
            </w:r>
          </w:p>
        </w:tc>
        <w:tc>
          <w:tcPr>
            <w:tcW w:w="400"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500</w:t>
            </w:r>
          </w:p>
        </w:tc>
        <w:tc>
          <w:tcPr>
            <w:tcW w:w="737"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9</w:t>
            </w:r>
          </w:p>
        </w:tc>
        <w:tc>
          <w:tcPr>
            <w:tcW w:w="903"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1,0</w:t>
            </w:r>
          </w:p>
        </w:tc>
        <w:tc>
          <w:tcPr>
            <w:tcW w:w="1080"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2010</w:t>
            </w:r>
          </w:p>
        </w:tc>
        <w:tc>
          <w:tcPr>
            <w:tcW w:w="460" w:type="dxa"/>
            <w:tcBorders>
              <w:top w:val="single" w:color="000000" w:sz="4" w:space="0"/>
              <w:left w:val="single" w:color="000000" w:sz="4" w:space="0"/>
            </w:tcBorders>
            <w:shd w:val="clear" w:color="auto" w:fill="FFFFFF"/>
          </w:tcPr>
          <w:p>
            <w:pPr>
              <w:widowControl w:val="0"/>
              <w:snapToGrid w:val="0"/>
              <w:jc w:val="center"/>
              <w:rPr>
                <w:rFonts w:ascii="Times New Roman" w:hAnsi="Times New Roman" w:cs="Times New Roman"/>
                <w:color w:val="000000"/>
                <w:lang w:val="uk-UA"/>
              </w:rPr>
            </w:pPr>
          </w:p>
        </w:tc>
        <w:tc>
          <w:tcPr>
            <w:tcW w:w="620" w:type="dxa"/>
            <w:tcBorders>
              <w:top w:val="single" w:color="000000" w:sz="4" w:space="0"/>
              <w:left w:val="single" w:color="000000" w:sz="4" w:space="0"/>
            </w:tcBorders>
            <w:shd w:val="clear" w:color="auto" w:fill="FFFFFF"/>
          </w:tcPr>
          <w:p>
            <w:pPr>
              <w:widowControl w:val="0"/>
              <w:snapToGrid w:val="0"/>
              <w:jc w:val="center"/>
              <w:rPr>
                <w:rFonts w:ascii="Times New Roman" w:hAnsi="Times New Roman" w:cs="Times New Roman"/>
                <w:color w:val="000000"/>
                <w:lang w:val="uk-UA"/>
              </w:rPr>
            </w:pPr>
          </w:p>
        </w:tc>
        <w:tc>
          <w:tcPr>
            <w:tcW w:w="1308" w:type="dxa"/>
            <w:tcBorders>
              <w:top w:val="single" w:color="000000" w:sz="4" w:space="0"/>
              <w:left w:val="single" w:color="000000" w:sz="4" w:space="0"/>
              <w:right w:val="single" w:color="000000" w:sz="4" w:space="0"/>
            </w:tcBorders>
            <w:shd w:val="clear" w:color="auto" w:fill="FFFFFF"/>
          </w:tcPr>
          <w:p>
            <w:pPr>
              <w:pStyle w:val="18"/>
              <w:snapToGrid w:val="0"/>
              <w:spacing w:line="240" w:lineRule="auto"/>
              <w:jc w:val="center"/>
              <w:rPr>
                <w:rFonts w:cs="Microsoft Sans Serif"/>
                <w:color w:val="000000"/>
                <w:sz w:val="21"/>
                <w:szCs w:val="21"/>
                <w:lang w:val="uk-UA"/>
              </w:rPr>
            </w:pPr>
          </w:p>
        </w:tc>
      </w:tr>
      <w:tr>
        <w:tblPrEx>
          <w:tblLayout w:type="fixed"/>
          <w:tblCellMar>
            <w:top w:w="0" w:type="dxa"/>
            <w:left w:w="10" w:type="dxa"/>
            <w:bottom w:w="0" w:type="dxa"/>
            <w:right w:w="10" w:type="dxa"/>
          </w:tblCellMar>
        </w:tblPrEx>
        <w:trPr>
          <w:trHeight w:val="451" w:hRule="exact"/>
        </w:trPr>
        <w:tc>
          <w:tcPr>
            <w:tcW w:w="335"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1</w:t>
            </w:r>
          </w:p>
        </w:tc>
        <w:tc>
          <w:tcPr>
            <w:tcW w:w="1002" w:type="dxa"/>
            <w:tcBorders>
              <w:top w:val="single" w:color="000000" w:sz="4" w:space="0"/>
              <w:left w:val="single" w:color="000000" w:sz="4" w:space="0"/>
            </w:tcBorders>
            <w:shd w:val="clear" w:color="auto" w:fill="FFFFFF"/>
          </w:tcPr>
          <w:p>
            <w:pPr>
              <w:pStyle w:val="18"/>
              <w:spacing w:line="240" w:lineRule="auto"/>
              <w:rPr>
                <w:rFonts w:cs="Microsoft Sans Serif"/>
                <w:sz w:val="21"/>
                <w:szCs w:val="21"/>
              </w:rPr>
            </w:pPr>
            <w:r>
              <w:rPr>
                <w:color w:val="000000"/>
                <w:sz w:val="21"/>
                <w:szCs w:val="21"/>
                <w:lang w:val="uk-UA"/>
              </w:rPr>
              <w:t>Вінниця</w:t>
            </w:r>
          </w:p>
        </w:tc>
        <w:tc>
          <w:tcPr>
            <w:tcW w:w="1158" w:type="dxa"/>
            <w:tcBorders>
              <w:top w:val="single" w:color="000000" w:sz="4" w:space="0"/>
              <w:left w:val="single" w:color="000000" w:sz="4" w:space="0"/>
            </w:tcBorders>
            <w:shd w:val="clear" w:color="auto" w:fill="FFFFFF"/>
          </w:tcPr>
          <w:p>
            <w:pPr>
              <w:pStyle w:val="18"/>
              <w:spacing w:line="240" w:lineRule="auto"/>
              <w:rPr>
                <w:rFonts w:cs="Microsoft Sans Serif"/>
                <w:sz w:val="21"/>
                <w:szCs w:val="21"/>
              </w:rPr>
            </w:pPr>
            <w:r>
              <w:rPr>
                <w:color w:val="000000"/>
                <w:sz w:val="21"/>
                <w:szCs w:val="21"/>
                <w:lang w:val="uk-UA"/>
              </w:rPr>
              <w:t>К.Василенка</w:t>
            </w:r>
          </w:p>
        </w:tc>
        <w:tc>
          <w:tcPr>
            <w:tcW w:w="542" w:type="dxa"/>
            <w:tcBorders>
              <w:top w:val="single" w:color="000000" w:sz="4" w:space="0"/>
              <w:left w:val="single" w:color="000000" w:sz="4" w:space="0"/>
            </w:tcBorders>
            <w:shd w:val="clear" w:color="auto" w:fill="FFFFFF"/>
          </w:tcPr>
          <w:p>
            <w:pPr>
              <w:widowControl w:val="0"/>
              <w:rPr>
                <w:rFonts w:ascii="Times New Roman" w:hAnsi="Times New Roman" w:cs="Times New Roman"/>
              </w:rPr>
            </w:pPr>
            <w:r>
              <w:rPr>
                <w:rFonts w:ascii="Times New Roman" w:hAnsi="Times New Roman" w:cs="Times New Roman"/>
                <w:color w:val="000000"/>
                <w:lang w:val="uk-UA"/>
              </w:rPr>
              <w:t>21</w:t>
            </w:r>
          </w:p>
        </w:tc>
        <w:tc>
          <w:tcPr>
            <w:tcW w:w="600"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1249</w:t>
            </w:r>
          </w:p>
        </w:tc>
        <w:tc>
          <w:tcPr>
            <w:tcW w:w="588" w:type="dxa"/>
            <w:tcBorders>
              <w:top w:val="single" w:color="000000" w:sz="4" w:space="0"/>
              <w:left w:val="single" w:color="000000" w:sz="4" w:space="0"/>
            </w:tcBorders>
            <w:shd w:val="clear" w:color="auto" w:fill="FFFFFF"/>
          </w:tcPr>
          <w:p>
            <w:pPr>
              <w:widowControl w:val="0"/>
              <w:rPr>
                <w:rFonts w:ascii="Times New Roman" w:hAnsi="Times New Roman" w:cs="Times New Roman"/>
              </w:rPr>
            </w:pPr>
            <w:r>
              <w:rPr>
                <w:rFonts w:ascii="Times New Roman" w:hAnsi="Times New Roman" w:cs="Times New Roman"/>
                <w:color w:val="000000"/>
                <w:lang w:val="uk-UA"/>
              </w:rPr>
              <w:t>1540</w:t>
            </w:r>
          </w:p>
        </w:tc>
        <w:tc>
          <w:tcPr>
            <w:tcW w:w="550"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ПАС</w:t>
            </w:r>
          </w:p>
        </w:tc>
        <w:tc>
          <w:tcPr>
            <w:tcW w:w="400"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500</w:t>
            </w:r>
          </w:p>
        </w:tc>
        <w:tc>
          <w:tcPr>
            <w:tcW w:w="737"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9</w:t>
            </w:r>
          </w:p>
        </w:tc>
        <w:tc>
          <w:tcPr>
            <w:tcW w:w="903"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1,0</w:t>
            </w:r>
          </w:p>
        </w:tc>
        <w:tc>
          <w:tcPr>
            <w:tcW w:w="1080" w:type="dxa"/>
            <w:tcBorders>
              <w:top w:val="single" w:color="000000" w:sz="4" w:space="0"/>
              <w:left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2010</w:t>
            </w:r>
          </w:p>
        </w:tc>
        <w:tc>
          <w:tcPr>
            <w:tcW w:w="460" w:type="dxa"/>
            <w:tcBorders>
              <w:top w:val="single" w:color="000000" w:sz="4" w:space="0"/>
              <w:left w:val="single" w:color="000000" w:sz="4" w:space="0"/>
            </w:tcBorders>
            <w:shd w:val="clear" w:color="auto" w:fill="FFFFFF"/>
          </w:tcPr>
          <w:p>
            <w:pPr>
              <w:widowControl w:val="0"/>
              <w:snapToGrid w:val="0"/>
              <w:jc w:val="center"/>
              <w:rPr>
                <w:rFonts w:ascii="Times New Roman" w:hAnsi="Times New Roman" w:cs="Times New Roman"/>
                <w:color w:val="000000"/>
                <w:lang w:val="uk-UA"/>
              </w:rPr>
            </w:pPr>
          </w:p>
        </w:tc>
        <w:tc>
          <w:tcPr>
            <w:tcW w:w="620" w:type="dxa"/>
            <w:tcBorders>
              <w:top w:val="single" w:color="000000" w:sz="4" w:space="0"/>
              <w:left w:val="single" w:color="000000" w:sz="4" w:space="0"/>
            </w:tcBorders>
            <w:shd w:val="clear" w:color="auto" w:fill="FFFFFF"/>
          </w:tcPr>
          <w:p>
            <w:pPr>
              <w:widowControl w:val="0"/>
              <w:snapToGrid w:val="0"/>
              <w:jc w:val="center"/>
              <w:rPr>
                <w:rFonts w:ascii="Times New Roman" w:hAnsi="Times New Roman" w:cs="Times New Roman"/>
                <w:color w:val="000000"/>
                <w:lang w:val="uk-UA"/>
              </w:rPr>
            </w:pPr>
          </w:p>
        </w:tc>
        <w:tc>
          <w:tcPr>
            <w:tcW w:w="1308" w:type="dxa"/>
            <w:tcBorders>
              <w:top w:val="single" w:color="000000" w:sz="4" w:space="0"/>
              <w:left w:val="single" w:color="000000" w:sz="4" w:space="0"/>
              <w:right w:val="single" w:color="000000" w:sz="4" w:space="0"/>
            </w:tcBorders>
            <w:shd w:val="clear" w:color="auto" w:fill="FFFFFF"/>
          </w:tcPr>
          <w:p>
            <w:pPr>
              <w:pStyle w:val="18"/>
              <w:snapToGrid w:val="0"/>
              <w:spacing w:line="240" w:lineRule="auto"/>
              <w:jc w:val="center"/>
              <w:rPr>
                <w:rFonts w:cs="Microsoft Sans Serif"/>
                <w:color w:val="000000"/>
                <w:sz w:val="21"/>
                <w:szCs w:val="21"/>
                <w:lang w:val="uk-UA"/>
              </w:rPr>
            </w:pPr>
          </w:p>
        </w:tc>
      </w:tr>
      <w:tr>
        <w:tblPrEx>
          <w:tblLayout w:type="fixed"/>
          <w:tblCellMar>
            <w:top w:w="0" w:type="dxa"/>
            <w:left w:w="10" w:type="dxa"/>
            <w:bottom w:w="0" w:type="dxa"/>
            <w:right w:w="10" w:type="dxa"/>
          </w:tblCellMar>
        </w:tblPrEx>
        <w:trPr>
          <w:trHeight w:val="461" w:hRule="exact"/>
        </w:trPr>
        <w:tc>
          <w:tcPr>
            <w:tcW w:w="335" w:type="dxa"/>
            <w:tcBorders>
              <w:top w:val="single" w:color="000000" w:sz="4" w:space="0"/>
              <w:left w:val="single" w:color="000000" w:sz="4" w:space="0"/>
              <w:bottom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1</w:t>
            </w:r>
          </w:p>
        </w:tc>
        <w:tc>
          <w:tcPr>
            <w:tcW w:w="1002" w:type="dxa"/>
            <w:tcBorders>
              <w:top w:val="single" w:color="000000" w:sz="4" w:space="0"/>
              <w:left w:val="single" w:color="000000" w:sz="4" w:space="0"/>
              <w:bottom w:val="single" w:color="000000" w:sz="4" w:space="0"/>
            </w:tcBorders>
            <w:shd w:val="clear" w:color="auto" w:fill="FFFFFF"/>
          </w:tcPr>
          <w:p>
            <w:pPr>
              <w:pStyle w:val="18"/>
              <w:spacing w:line="240" w:lineRule="auto"/>
              <w:rPr>
                <w:rFonts w:cs="Microsoft Sans Serif"/>
                <w:sz w:val="21"/>
                <w:szCs w:val="21"/>
              </w:rPr>
            </w:pPr>
            <w:r>
              <w:rPr>
                <w:color w:val="000000"/>
                <w:sz w:val="21"/>
                <w:szCs w:val="21"/>
                <w:lang w:val="uk-UA"/>
              </w:rPr>
              <w:t>Вінниця</w:t>
            </w:r>
          </w:p>
        </w:tc>
        <w:tc>
          <w:tcPr>
            <w:tcW w:w="1158" w:type="dxa"/>
            <w:tcBorders>
              <w:top w:val="single" w:color="000000" w:sz="4" w:space="0"/>
              <w:left w:val="single" w:color="000000" w:sz="4" w:space="0"/>
              <w:bottom w:val="single" w:color="000000" w:sz="4" w:space="0"/>
            </w:tcBorders>
            <w:shd w:val="clear" w:color="auto" w:fill="FFFFFF"/>
          </w:tcPr>
          <w:p>
            <w:pPr>
              <w:pStyle w:val="18"/>
              <w:spacing w:line="240" w:lineRule="auto"/>
              <w:rPr>
                <w:rFonts w:cs="Microsoft Sans Serif"/>
                <w:sz w:val="21"/>
                <w:szCs w:val="21"/>
              </w:rPr>
            </w:pPr>
            <w:r>
              <w:rPr>
                <w:color w:val="000000"/>
                <w:sz w:val="21"/>
                <w:szCs w:val="21"/>
                <w:lang w:val="uk-UA"/>
              </w:rPr>
              <w:t>К.Василенка</w:t>
            </w:r>
          </w:p>
        </w:tc>
        <w:tc>
          <w:tcPr>
            <w:tcW w:w="542" w:type="dxa"/>
            <w:tcBorders>
              <w:top w:val="single" w:color="000000" w:sz="4" w:space="0"/>
              <w:left w:val="single" w:color="000000" w:sz="4" w:space="0"/>
              <w:bottom w:val="single" w:color="000000" w:sz="4" w:space="0"/>
            </w:tcBorders>
            <w:shd w:val="clear" w:color="auto" w:fill="FFFFFF"/>
          </w:tcPr>
          <w:p>
            <w:pPr>
              <w:widowControl w:val="0"/>
              <w:rPr>
                <w:rFonts w:ascii="Times New Roman" w:hAnsi="Times New Roman" w:cs="Times New Roman"/>
              </w:rPr>
            </w:pPr>
            <w:r>
              <w:rPr>
                <w:rFonts w:ascii="Times New Roman" w:hAnsi="Times New Roman" w:cs="Times New Roman"/>
                <w:color w:val="000000"/>
                <w:lang w:val="uk-UA"/>
              </w:rPr>
              <w:t>21</w:t>
            </w:r>
          </w:p>
        </w:tc>
        <w:tc>
          <w:tcPr>
            <w:tcW w:w="600" w:type="dxa"/>
            <w:tcBorders>
              <w:top w:val="single" w:color="000000" w:sz="4" w:space="0"/>
              <w:left w:val="single" w:color="000000" w:sz="4" w:space="0"/>
              <w:bottom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1250</w:t>
            </w:r>
          </w:p>
        </w:tc>
        <w:tc>
          <w:tcPr>
            <w:tcW w:w="588" w:type="dxa"/>
            <w:tcBorders>
              <w:top w:val="single" w:color="000000" w:sz="4" w:space="0"/>
              <w:left w:val="single" w:color="000000" w:sz="4" w:space="0"/>
              <w:bottom w:val="single" w:color="000000" w:sz="4" w:space="0"/>
            </w:tcBorders>
            <w:shd w:val="clear" w:color="auto" w:fill="FFFFFF"/>
          </w:tcPr>
          <w:p>
            <w:pPr>
              <w:widowControl w:val="0"/>
              <w:rPr>
                <w:rFonts w:ascii="Times New Roman" w:hAnsi="Times New Roman" w:cs="Times New Roman"/>
              </w:rPr>
            </w:pPr>
            <w:r>
              <w:rPr>
                <w:rFonts w:ascii="Times New Roman" w:hAnsi="Times New Roman" w:cs="Times New Roman"/>
                <w:color w:val="000000"/>
                <w:lang w:val="uk-UA"/>
              </w:rPr>
              <w:t>1538</w:t>
            </w:r>
          </w:p>
        </w:tc>
        <w:tc>
          <w:tcPr>
            <w:tcW w:w="550" w:type="dxa"/>
            <w:tcBorders>
              <w:top w:val="single" w:color="000000" w:sz="4" w:space="0"/>
              <w:left w:val="single" w:color="000000" w:sz="4" w:space="0"/>
              <w:bottom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ПАС</w:t>
            </w:r>
          </w:p>
        </w:tc>
        <w:tc>
          <w:tcPr>
            <w:tcW w:w="400" w:type="dxa"/>
            <w:tcBorders>
              <w:top w:val="single" w:color="000000" w:sz="4" w:space="0"/>
              <w:left w:val="single" w:color="000000" w:sz="4" w:space="0"/>
              <w:bottom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500</w:t>
            </w:r>
          </w:p>
        </w:tc>
        <w:tc>
          <w:tcPr>
            <w:tcW w:w="737" w:type="dxa"/>
            <w:tcBorders>
              <w:top w:val="single" w:color="000000" w:sz="4" w:space="0"/>
              <w:left w:val="single" w:color="000000" w:sz="4" w:space="0"/>
              <w:bottom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9</w:t>
            </w:r>
          </w:p>
        </w:tc>
        <w:tc>
          <w:tcPr>
            <w:tcW w:w="903" w:type="dxa"/>
            <w:tcBorders>
              <w:top w:val="single" w:color="000000" w:sz="4" w:space="0"/>
              <w:left w:val="single" w:color="000000" w:sz="4" w:space="0"/>
              <w:bottom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1,0</w:t>
            </w:r>
          </w:p>
        </w:tc>
        <w:tc>
          <w:tcPr>
            <w:tcW w:w="1080" w:type="dxa"/>
            <w:tcBorders>
              <w:top w:val="single" w:color="000000" w:sz="4" w:space="0"/>
              <w:left w:val="single" w:color="000000" w:sz="4" w:space="0"/>
              <w:bottom w:val="single" w:color="000000" w:sz="4" w:space="0"/>
            </w:tcBorders>
            <w:shd w:val="clear" w:color="auto" w:fill="FFFFFF"/>
          </w:tcPr>
          <w:p>
            <w:pPr>
              <w:pStyle w:val="18"/>
              <w:spacing w:line="240" w:lineRule="auto"/>
              <w:jc w:val="center"/>
              <w:rPr>
                <w:rFonts w:cs="Microsoft Sans Serif"/>
                <w:sz w:val="21"/>
                <w:szCs w:val="21"/>
              </w:rPr>
            </w:pPr>
            <w:r>
              <w:rPr>
                <w:color w:val="000000"/>
                <w:sz w:val="21"/>
                <w:szCs w:val="21"/>
                <w:lang w:val="uk-UA"/>
              </w:rPr>
              <w:t>2010</w:t>
            </w:r>
          </w:p>
        </w:tc>
        <w:tc>
          <w:tcPr>
            <w:tcW w:w="460" w:type="dxa"/>
            <w:tcBorders>
              <w:top w:val="single" w:color="000000" w:sz="4" w:space="0"/>
              <w:left w:val="single" w:color="000000" w:sz="4" w:space="0"/>
              <w:bottom w:val="single" w:color="000000" w:sz="4" w:space="0"/>
            </w:tcBorders>
            <w:shd w:val="clear" w:color="auto" w:fill="FFFFFF"/>
          </w:tcPr>
          <w:p>
            <w:pPr>
              <w:widowControl w:val="0"/>
              <w:snapToGrid w:val="0"/>
              <w:jc w:val="center"/>
              <w:rPr>
                <w:rFonts w:ascii="Times New Roman" w:hAnsi="Times New Roman" w:cs="Times New Roman"/>
                <w:color w:val="000000"/>
                <w:lang w:val="uk-UA"/>
              </w:rPr>
            </w:pPr>
          </w:p>
        </w:tc>
        <w:tc>
          <w:tcPr>
            <w:tcW w:w="620" w:type="dxa"/>
            <w:tcBorders>
              <w:top w:val="single" w:color="000000" w:sz="4" w:space="0"/>
              <w:left w:val="single" w:color="000000" w:sz="4" w:space="0"/>
              <w:bottom w:val="single" w:color="000000" w:sz="4" w:space="0"/>
            </w:tcBorders>
            <w:shd w:val="clear" w:color="auto" w:fill="FFFFFF"/>
          </w:tcPr>
          <w:p>
            <w:pPr>
              <w:widowControl w:val="0"/>
              <w:snapToGrid w:val="0"/>
              <w:jc w:val="center"/>
              <w:rPr>
                <w:rFonts w:ascii="Times New Roman" w:hAnsi="Times New Roman" w:cs="Times New Roman"/>
                <w:color w:val="000000"/>
                <w:lang w:val="uk-UA"/>
              </w:rPr>
            </w:pPr>
          </w:p>
        </w:tc>
        <w:tc>
          <w:tcPr>
            <w:tcW w:w="1308" w:type="dxa"/>
            <w:tcBorders>
              <w:top w:val="single" w:color="000000" w:sz="4" w:space="0"/>
              <w:left w:val="single" w:color="000000" w:sz="4" w:space="0"/>
              <w:right w:val="single" w:color="000000" w:sz="4" w:space="0"/>
            </w:tcBorders>
            <w:shd w:val="clear" w:color="auto" w:fill="FFFFFF"/>
          </w:tcPr>
          <w:p>
            <w:pPr>
              <w:pStyle w:val="18"/>
              <w:snapToGrid w:val="0"/>
              <w:spacing w:line="240" w:lineRule="auto"/>
              <w:jc w:val="center"/>
              <w:rPr>
                <w:rFonts w:cs="Microsoft Sans Serif"/>
                <w:color w:val="000000"/>
                <w:sz w:val="21"/>
                <w:szCs w:val="21"/>
                <w:lang w:val="uk-UA"/>
              </w:rPr>
            </w:pPr>
          </w:p>
        </w:tc>
      </w:tr>
      <w:tr>
        <w:tblPrEx>
          <w:tblLayout w:type="fixed"/>
          <w:tblCellMar>
            <w:top w:w="0" w:type="dxa"/>
            <w:left w:w="10" w:type="dxa"/>
            <w:bottom w:w="0" w:type="dxa"/>
            <w:right w:w="10" w:type="dxa"/>
          </w:tblCellMar>
        </w:tblPrEx>
        <w:trPr>
          <w:trHeight w:val="307" w:hRule="exact"/>
        </w:trPr>
        <w:tc>
          <w:tcPr>
            <w:tcW w:w="7895" w:type="dxa"/>
            <w:gridSpan w:val="11"/>
            <w:vMerge w:val="restart"/>
            <w:tcBorders>
              <w:top w:val="single" w:color="000000" w:sz="4" w:space="0"/>
            </w:tcBorders>
            <w:shd w:val="clear" w:color="auto" w:fill="FFFFFF"/>
            <w:vAlign w:val="bottom"/>
          </w:tcPr>
          <w:p>
            <w:pPr>
              <w:pStyle w:val="18"/>
              <w:tabs>
                <w:tab w:val="left" w:leader="hyphen" w:pos="8214"/>
                <w:tab w:val="left" w:leader="underscore" w:pos="9956"/>
              </w:tabs>
              <w:snapToGrid w:val="0"/>
              <w:spacing w:line="240" w:lineRule="auto"/>
              <w:ind w:left="7400"/>
              <w:rPr>
                <w:rFonts w:cs="Microsoft Sans Serif"/>
                <w:color w:val="000000"/>
                <w:sz w:val="21"/>
                <w:szCs w:val="21"/>
                <w:lang w:val="uk-UA"/>
              </w:rPr>
            </w:pPr>
          </w:p>
        </w:tc>
        <w:tc>
          <w:tcPr>
            <w:tcW w:w="1080" w:type="dxa"/>
            <w:gridSpan w:val="2"/>
            <w:tcBorders>
              <w:top w:val="single" w:color="000000" w:sz="4" w:space="0"/>
              <w:left w:val="single" w:color="000000" w:sz="4" w:space="0"/>
              <w:bottom w:val="single" w:color="000000" w:sz="4" w:space="0"/>
            </w:tcBorders>
            <w:shd w:val="clear" w:color="auto" w:fill="FFFFFF"/>
          </w:tcPr>
          <w:p>
            <w:pPr>
              <w:pStyle w:val="18"/>
              <w:spacing w:line="240" w:lineRule="auto"/>
              <w:jc w:val="center"/>
              <w:rPr>
                <w:rFonts w:cs="Microsoft Sans Serif"/>
                <w:sz w:val="21"/>
                <w:szCs w:val="21"/>
              </w:rPr>
            </w:pPr>
            <w:r>
              <w:rPr>
                <w:b/>
                <w:bCs/>
                <w:color w:val="000000"/>
                <w:sz w:val="21"/>
                <w:szCs w:val="21"/>
                <w:lang w:val="uk-UA"/>
              </w:rPr>
              <w:t>Всього:</w:t>
            </w:r>
          </w:p>
        </w:tc>
        <w:tc>
          <w:tcPr>
            <w:tcW w:w="1308" w:type="dxa"/>
            <w:tcBorders>
              <w:top w:val="single" w:color="000000" w:sz="4" w:space="0"/>
              <w:left w:val="single" w:color="000000" w:sz="4" w:space="0"/>
              <w:bottom w:val="single" w:color="000000" w:sz="4" w:space="0"/>
              <w:right w:val="single" w:color="000000" w:sz="4" w:space="0"/>
            </w:tcBorders>
            <w:shd w:val="clear" w:color="auto" w:fill="FFFFFF"/>
          </w:tcPr>
          <w:p>
            <w:pPr>
              <w:pStyle w:val="18"/>
              <w:snapToGrid w:val="0"/>
              <w:spacing w:line="240" w:lineRule="auto"/>
              <w:rPr>
                <w:rFonts w:cs="Microsoft Sans Serif"/>
                <w:b/>
                <w:bCs/>
                <w:color w:val="000000"/>
                <w:sz w:val="21"/>
                <w:szCs w:val="21"/>
                <w:lang w:val="uk-UA"/>
              </w:rPr>
            </w:pPr>
          </w:p>
        </w:tc>
      </w:tr>
      <w:tr>
        <w:tblPrEx>
          <w:tblLayout w:type="fixed"/>
          <w:tblCellMar>
            <w:top w:w="0" w:type="dxa"/>
            <w:left w:w="10" w:type="dxa"/>
            <w:bottom w:w="0" w:type="dxa"/>
            <w:right w:w="10" w:type="dxa"/>
          </w:tblCellMar>
        </w:tblPrEx>
        <w:trPr>
          <w:trHeight w:val="284" w:hRule="exact"/>
        </w:trPr>
        <w:tc>
          <w:tcPr>
            <w:tcW w:w="7895" w:type="dxa"/>
            <w:gridSpan w:val="11"/>
            <w:vMerge w:val="continue"/>
            <w:tcBorders>
              <w:top w:val="single" w:color="000000" w:sz="4" w:space="0"/>
            </w:tcBorders>
            <w:shd w:val="clear" w:color="auto" w:fill="FFFFFF"/>
            <w:vAlign w:val="bottom"/>
          </w:tcPr>
          <w:p>
            <w:pPr>
              <w:widowControl w:val="0"/>
              <w:snapToGrid w:val="0"/>
              <w:rPr>
                <w:rFonts w:ascii="Times New Roman" w:hAnsi="Times New Roman" w:cs="Times New Roman"/>
                <w:b/>
                <w:bCs/>
                <w:color w:val="000000"/>
                <w:lang w:val="uk-UA"/>
              </w:rPr>
            </w:pPr>
          </w:p>
        </w:tc>
        <w:tc>
          <w:tcPr>
            <w:tcW w:w="1080" w:type="dxa"/>
            <w:gridSpan w:val="2"/>
            <w:tcBorders>
              <w:top w:val="single" w:color="000000" w:sz="4" w:space="0"/>
              <w:left w:val="single" w:color="000000" w:sz="4" w:space="0"/>
              <w:bottom w:val="single" w:color="000000" w:sz="4" w:space="0"/>
            </w:tcBorders>
            <w:shd w:val="clear" w:color="auto" w:fill="FFFFFF"/>
          </w:tcPr>
          <w:p>
            <w:pPr>
              <w:pStyle w:val="18"/>
              <w:spacing w:line="240" w:lineRule="auto"/>
              <w:jc w:val="center"/>
              <w:rPr>
                <w:rFonts w:cs="Microsoft Sans Serif"/>
                <w:sz w:val="21"/>
                <w:szCs w:val="21"/>
              </w:rPr>
            </w:pPr>
            <w:r>
              <w:rPr>
                <w:b/>
                <w:bCs/>
                <w:color w:val="000000"/>
                <w:sz w:val="21"/>
                <w:szCs w:val="21"/>
                <w:lang w:val="uk-UA"/>
              </w:rPr>
              <w:t>ПДВ:</w:t>
            </w:r>
          </w:p>
        </w:tc>
        <w:tc>
          <w:tcPr>
            <w:tcW w:w="1308" w:type="dxa"/>
            <w:tcBorders>
              <w:top w:val="single" w:color="000000" w:sz="4" w:space="0"/>
              <w:left w:val="single" w:color="000000" w:sz="4" w:space="0"/>
              <w:bottom w:val="single" w:color="000000" w:sz="4" w:space="0"/>
              <w:right w:val="single" w:color="000000" w:sz="4" w:space="0"/>
            </w:tcBorders>
            <w:shd w:val="clear" w:color="auto" w:fill="FFFFFF"/>
          </w:tcPr>
          <w:p>
            <w:pPr>
              <w:pStyle w:val="18"/>
              <w:snapToGrid w:val="0"/>
              <w:spacing w:line="240" w:lineRule="auto"/>
              <w:rPr>
                <w:rFonts w:cs="Microsoft Sans Serif"/>
                <w:b/>
                <w:bCs/>
                <w:color w:val="000000"/>
                <w:sz w:val="21"/>
                <w:szCs w:val="21"/>
                <w:lang w:val="uk-UA"/>
              </w:rPr>
            </w:pPr>
          </w:p>
        </w:tc>
      </w:tr>
      <w:tr>
        <w:tblPrEx>
          <w:tblLayout w:type="fixed"/>
          <w:tblCellMar>
            <w:top w:w="0" w:type="dxa"/>
            <w:left w:w="10" w:type="dxa"/>
            <w:bottom w:w="0" w:type="dxa"/>
            <w:right w:w="10" w:type="dxa"/>
          </w:tblCellMar>
        </w:tblPrEx>
        <w:trPr>
          <w:trHeight w:val="288" w:hRule="exact"/>
        </w:trPr>
        <w:tc>
          <w:tcPr>
            <w:tcW w:w="7895" w:type="dxa"/>
            <w:gridSpan w:val="11"/>
            <w:vMerge w:val="continue"/>
            <w:tcBorders>
              <w:top w:val="single" w:color="000000" w:sz="4" w:space="0"/>
            </w:tcBorders>
            <w:shd w:val="clear" w:color="auto" w:fill="FFFFFF"/>
            <w:vAlign w:val="bottom"/>
          </w:tcPr>
          <w:p>
            <w:pPr>
              <w:widowControl w:val="0"/>
              <w:snapToGrid w:val="0"/>
              <w:rPr>
                <w:rFonts w:ascii="Times New Roman" w:hAnsi="Times New Roman" w:cs="Times New Roman"/>
                <w:b/>
                <w:bCs/>
                <w:color w:val="000000"/>
                <w:lang w:val="uk-UA"/>
              </w:rPr>
            </w:pPr>
          </w:p>
        </w:tc>
        <w:tc>
          <w:tcPr>
            <w:tcW w:w="1080" w:type="dxa"/>
            <w:gridSpan w:val="2"/>
            <w:tcBorders>
              <w:top w:val="single" w:color="000000" w:sz="4" w:space="0"/>
              <w:left w:val="single" w:color="000000" w:sz="4" w:space="0"/>
              <w:bottom w:val="single" w:color="000000" w:sz="4" w:space="0"/>
            </w:tcBorders>
            <w:shd w:val="clear" w:color="auto" w:fill="FFFFFF"/>
            <w:vAlign w:val="center"/>
          </w:tcPr>
          <w:p>
            <w:pPr>
              <w:pStyle w:val="18"/>
              <w:spacing w:line="240" w:lineRule="auto"/>
              <w:jc w:val="center"/>
              <w:rPr>
                <w:rFonts w:cs="Microsoft Sans Serif"/>
                <w:sz w:val="21"/>
                <w:szCs w:val="21"/>
              </w:rPr>
            </w:pPr>
            <w:r>
              <w:rPr>
                <w:b/>
                <w:bCs/>
                <w:color w:val="000000"/>
                <w:sz w:val="21"/>
                <w:szCs w:val="21"/>
                <w:lang w:val="uk-UA"/>
              </w:rPr>
              <w:t>РАЗОМ:</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8"/>
              <w:snapToGrid w:val="0"/>
              <w:spacing w:line="240" w:lineRule="auto"/>
              <w:rPr>
                <w:rFonts w:cs="Microsoft Sans Serif"/>
                <w:b/>
                <w:bCs/>
                <w:color w:val="000000"/>
                <w:sz w:val="21"/>
                <w:szCs w:val="21"/>
                <w:lang w:val="uk-UA"/>
              </w:rPr>
            </w:pPr>
          </w:p>
        </w:tc>
      </w:tr>
    </w:tbl>
    <w:p>
      <w:pPr>
        <w:suppressAutoHyphens/>
        <w:spacing w:after="0" w:line="240" w:lineRule="atLeast"/>
        <w:ind w:left="235" w:right="-1153" w:firstLine="605"/>
        <w:jc w:val="center"/>
        <w:rPr>
          <w:rFonts w:ascii="Times New Roman" w:hAnsi="Times New Roman" w:cs="Times New Roman"/>
          <w:b/>
          <w:bCs/>
          <w:sz w:val="24"/>
          <w:szCs w:val="24"/>
          <w:lang w:val="uk-UA"/>
        </w:rPr>
      </w:pPr>
    </w:p>
    <w:p>
      <w:pPr>
        <w:suppressAutoHyphens/>
        <w:spacing w:after="0" w:line="240" w:lineRule="atLeast"/>
        <w:ind w:left="235" w:right="-1153" w:firstLine="605"/>
        <w:jc w:val="center"/>
        <w:rPr>
          <w:rFonts w:ascii="Times New Roman" w:hAnsi="Times New Roman" w:cs="Times New Roman"/>
          <w:b/>
          <w:bCs/>
          <w:sz w:val="24"/>
          <w:szCs w:val="24"/>
          <w:lang w:val="uk-UA"/>
        </w:rPr>
      </w:pPr>
    </w:p>
    <w:p>
      <w:pPr>
        <w:suppressAutoHyphens/>
        <w:spacing w:after="0" w:line="240" w:lineRule="atLeast"/>
        <w:ind w:left="235" w:right="-1153" w:firstLine="605"/>
        <w:jc w:val="center"/>
        <w:rPr>
          <w:rFonts w:ascii="Times New Roman" w:hAnsi="Times New Roman" w:cs="Times New Roman"/>
          <w:b/>
          <w:bCs/>
          <w:sz w:val="24"/>
          <w:szCs w:val="24"/>
          <w:lang w:val="uk-UA"/>
        </w:rPr>
      </w:pPr>
    </w:p>
    <w:tbl>
      <w:tblPr>
        <w:tblStyle w:val="7"/>
        <w:tblW w:w="9936" w:type="dxa"/>
        <w:tblInd w:w="0" w:type="dxa"/>
        <w:tblLayout w:type="fixed"/>
        <w:tblCellMar>
          <w:top w:w="0" w:type="dxa"/>
          <w:left w:w="108" w:type="dxa"/>
          <w:bottom w:w="0" w:type="dxa"/>
          <w:right w:w="108" w:type="dxa"/>
        </w:tblCellMar>
      </w:tblPr>
      <w:tblGrid>
        <w:gridCol w:w="4427"/>
        <w:gridCol w:w="360"/>
        <w:gridCol w:w="5149"/>
      </w:tblGrid>
      <w:tr>
        <w:tblPrEx>
          <w:tblLayout w:type="fixed"/>
          <w:tblCellMar>
            <w:top w:w="0" w:type="dxa"/>
            <w:left w:w="108" w:type="dxa"/>
            <w:bottom w:w="0" w:type="dxa"/>
            <w:right w:w="108" w:type="dxa"/>
          </w:tblCellMar>
        </w:tblPrEx>
        <w:tc>
          <w:tcPr>
            <w:tcW w:w="4427" w:type="dxa"/>
          </w:tcPr>
          <w:p>
            <w:pPr>
              <w:spacing w:after="0" w:line="240" w:lineRule="auto"/>
              <w:contextualSpacing/>
              <w:jc w:val="center"/>
              <w:rPr>
                <w:rFonts w:ascii="Times New Roman" w:hAnsi="Times New Roman" w:cs="Times New Roman"/>
                <w:b/>
                <w:bCs/>
                <w:sz w:val="24"/>
                <w:szCs w:val="24"/>
                <w:lang w:val="uk-UA"/>
              </w:rPr>
            </w:pPr>
            <w:r>
              <w:rPr>
                <w:rFonts w:ascii="Times New Roman" w:hAnsi="Times New Roman" w:cs="Times New Roman"/>
                <w:b/>
                <w:bCs/>
                <w:color w:val="000000"/>
                <w:sz w:val="24"/>
                <w:szCs w:val="24"/>
                <w:lang w:val="uk-UA"/>
              </w:rPr>
              <w:t>ВИКОНАВЕЦЬ:</w:t>
            </w:r>
          </w:p>
        </w:tc>
        <w:tc>
          <w:tcPr>
            <w:tcW w:w="360" w:type="dxa"/>
          </w:tcPr>
          <w:p>
            <w:pPr>
              <w:spacing w:after="0" w:line="240" w:lineRule="auto"/>
              <w:contextualSpacing/>
              <w:jc w:val="center"/>
              <w:rPr>
                <w:rFonts w:ascii="Times New Roman" w:hAnsi="Times New Roman" w:cs="Times New Roman"/>
                <w:b/>
                <w:bCs/>
                <w:sz w:val="24"/>
                <w:szCs w:val="24"/>
                <w:lang w:val="uk-UA"/>
              </w:rPr>
            </w:pPr>
          </w:p>
        </w:tc>
        <w:tc>
          <w:tcPr>
            <w:tcW w:w="5149" w:type="dxa"/>
          </w:tcPr>
          <w:p>
            <w:pPr>
              <w:spacing w:after="0" w:line="240" w:lineRule="auto"/>
              <w:contextualSpacing/>
              <w:jc w:val="center"/>
              <w:rPr>
                <w:rFonts w:ascii="Times New Roman" w:hAnsi="Times New Roman" w:cs="Times New Roman"/>
                <w:b/>
                <w:bCs/>
                <w:sz w:val="24"/>
                <w:szCs w:val="24"/>
                <w:lang w:val="uk-UA"/>
              </w:rPr>
            </w:pPr>
            <w:r>
              <w:rPr>
                <w:rFonts w:ascii="Times New Roman" w:hAnsi="Times New Roman" w:cs="Times New Roman"/>
                <w:b/>
                <w:bCs/>
                <w:color w:val="000000"/>
                <w:sz w:val="24"/>
                <w:szCs w:val="24"/>
                <w:lang w:val="uk-UA"/>
              </w:rPr>
              <w:t>ЗАМОВНИК:</w:t>
            </w:r>
          </w:p>
        </w:tc>
      </w:tr>
      <w:tr>
        <w:tblPrEx>
          <w:tblLayout w:type="fixed"/>
          <w:tblCellMar>
            <w:top w:w="0" w:type="dxa"/>
            <w:left w:w="108" w:type="dxa"/>
            <w:bottom w:w="0" w:type="dxa"/>
            <w:right w:w="108" w:type="dxa"/>
          </w:tblCellMar>
        </w:tblPrEx>
        <w:tc>
          <w:tcPr>
            <w:tcW w:w="4427" w:type="dxa"/>
          </w:tcPr>
          <w:p>
            <w:pPr>
              <w:spacing w:after="0" w:line="240" w:lineRule="auto"/>
              <w:contextualSpacing/>
              <w:jc w:val="both"/>
              <w:rPr>
                <w:rFonts w:ascii="Times New Roman" w:hAnsi="Times New Roman" w:cs="Times New Roman"/>
                <w:sz w:val="24"/>
                <w:szCs w:val="24"/>
              </w:rPr>
            </w:pPr>
          </w:p>
        </w:tc>
        <w:tc>
          <w:tcPr>
            <w:tcW w:w="360" w:type="dxa"/>
          </w:tcPr>
          <w:p>
            <w:pPr>
              <w:spacing w:after="0" w:line="240" w:lineRule="auto"/>
              <w:contextualSpacing/>
              <w:jc w:val="center"/>
              <w:rPr>
                <w:rFonts w:ascii="Times New Roman" w:hAnsi="Times New Roman" w:cs="Times New Roman"/>
                <w:b/>
                <w:bCs/>
                <w:sz w:val="24"/>
                <w:szCs w:val="24"/>
                <w:lang w:val="uk-UA"/>
              </w:rPr>
            </w:pPr>
          </w:p>
        </w:tc>
        <w:tc>
          <w:tcPr>
            <w:tcW w:w="5149" w:type="dxa"/>
          </w:tcPr>
          <w:p>
            <w:pPr>
              <w:spacing w:after="0" w:line="240" w:lineRule="atLeast"/>
              <w:ind w:left="243" w:right="139" w:hanging="14"/>
              <w:jc w:val="center"/>
              <w:rPr>
                <w:rFonts w:ascii="Times New Roman" w:hAnsi="Times New Roman" w:cs="Times New Roman"/>
                <w:sz w:val="24"/>
                <w:szCs w:val="24"/>
                <w:lang w:val="uk-UA"/>
              </w:rPr>
            </w:pPr>
            <w:r>
              <w:rPr>
                <w:rFonts w:ascii="Times New Roman" w:hAnsi="Times New Roman" w:cs="Times New Roman"/>
                <w:b/>
                <w:bCs/>
                <w:color w:val="000000"/>
                <w:sz w:val="24"/>
                <w:szCs w:val="24"/>
                <w:lang w:val="uk-UA"/>
              </w:rPr>
              <w:t>Головне управління ДПС</w:t>
            </w:r>
          </w:p>
          <w:p>
            <w:pPr>
              <w:keepNext/>
              <w:keepLines/>
              <w:widowControl w:val="0"/>
              <w:tabs>
                <w:tab w:val="left" w:pos="231"/>
                <w:tab w:val="left" w:leader="underscore" w:pos="7292"/>
              </w:tabs>
              <w:spacing w:after="0" w:line="240" w:lineRule="atLeast"/>
              <w:ind w:left="243" w:right="139" w:hanging="14"/>
              <w:jc w:val="center"/>
              <w:rPr>
                <w:rFonts w:ascii="Times New Roman" w:hAnsi="Times New Roman" w:cs="Times New Roman"/>
                <w:color w:val="000000"/>
                <w:sz w:val="24"/>
                <w:szCs w:val="24"/>
                <w:lang w:val="uk-UA"/>
              </w:rPr>
            </w:pPr>
            <w:r>
              <w:rPr>
                <w:rFonts w:ascii="Times New Roman" w:hAnsi="Times New Roman" w:cs="Times New Roman"/>
                <w:b/>
                <w:bCs/>
                <w:color w:val="000000"/>
                <w:sz w:val="24"/>
                <w:szCs w:val="24"/>
                <w:lang w:val="uk-UA"/>
              </w:rPr>
              <w:t>у Вінницькій області</w:t>
            </w:r>
          </w:p>
          <w:p>
            <w:pPr>
              <w:tabs>
                <w:tab w:val="left" w:pos="5023"/>
              </w:tabs>
              <w:spacing w:after="0" w:line="240" w:lineRule="atLeast"/>
              <w:ind w:left="243" w:right="139" w:hanging="14"/>
              <w:jc w:val="both"/>
              <w:rPr>
                <w:rFonts w:ascii="Times New Roman" w:hAnsi="Times New Roman" w:cs="Times New Roman"/>
                <w:color w:val="000000"/>
                <w:sz w:val="24"/>
                <w:szCs w:val="24"/>
                <w:lang w:val="uk-UA"/>
              </w:rPr>
            </w:pPr>
          </w:p>
          <w:p>
            <w:pPr>
              <w:tabs>
                <w:tab w:val="left" w:pos="5023"/>
              </w:tabs>
              <w:spacing w:after="0" w:line="240" w:lineRule="atLeast"/>
              <w:ind w:left="243" w:right="139" w:hanging="14"/>
              <w:jc w:val="both"/>
              <w:rPr>
                <w:rFonts w:ascii="Times New Roman" w:hAnsi="Times New Roman" w:cs="Times New Roman"/>
                <w:color w:val="000000"/>
                <w:sz w:val="24"/>
                <w:szCs w:val="24"/>
                <w:lang w:val="uk-UA"/>
              </w:rPr>
            </w:pPr>
          </w:p>
          <w:p>
            <w:pPr>
              <w:tabs>
                <w:tab w:val="left" w:pos="5023"/>
              </w:tabs>
              <w:spacing w:after="0" w:line="240" w:lineRule="atLeast"/>
              <w:ind w:right="139"/>
              <w:jc w:val="both"/>
              <w:rPr>
                <w:rFonts w:ascii="Times New Roman" w:hAnsi="Times New Roman" w:cs="Times New Roman"/>
                <w:b/>
                <w:bCs/>
                <w:color w:val="00000A"/>
                <w:sz w:val="24"/>
                <w:szCs w:val="24"/>
                <w:lang w:val="uk-UA"/>
              </w:rPr>
            </w:pPr>
            <w:r>
              <w:rPr>
                <w:rFonts w:ascii="Times New Roman" w:hAnsi="Times New Roman" w:cs="Times New Roman"/>
                <w:b/>
                <w:bCs/>
                <w:color w:val="000000"/>
                <w:sz w:val="24"/>
                <w:szCs w:val="24"/>
                <w:lang w:val="uk-UA"/>
              </w:rPr>
              <w:t>В. о. начальника</w:t>
            </w:r>
          </w:p>
          <w:p>
            <w:pPr>
              <w:tabs>
                <w:tab w:val="left" w:pos="5023"/>
              </w:tabs>
              <w:spacing w:after="0" w:line="240" w:lineRule="atLeast"/>
              <w:ind w:left="243" w:right="139" w:hanging="14"/>
              <w:jc w:val="both"/>
              <w:rPr>
                <w:rFonts w:ascii="Times New Roman" w:hAnsi="Times New Roman" w:cs="Times New Roman"/>
                <w:color w:val="00000A"/>
                <w:sz w:val="24"/>
                <w:szCs w:val="24"/>
                <w:lang w:val="uk-UA"/>
              </w:rPr>
            </w:pPr>
            <w:r>
              <w:rPr>
                <w:rFonts w:ascii="Times New Roman" w:hAnsi="Times New Roman" w:cs="Times New Roman"/>
                <w:color w:val="000000"/>
                <w:sz w:val="24"/>
                <w:szCs w:val="24"/>
                <w:lang w:val="uk-UA"/>
              </w:rPr>
              <w:t xml:space="preserve">                    </w:t>
            </w:r>
          </w:p>
          <w:p>
            <w:pPr>
              <w:spacing w:after="0" w:line="240" w:lineRule="atLeast"/>
              <w:ind w:right="139"/>
              <w:rPr>
                <w:rFonts w:ascii="Times New Roman" w:hAnsi="Times New Roman" w:cs="Times New Roman"/>
                <w:b/>
                <w:bCs/>
                <w:color w:val="00000A"/>
                <w:sz w:val="24"/>
                <w:szCs w:val="24"/>
                <w:lang w:val="uk-UA"/>
              </w:rPr>
            </w:pPr>
            <w:r>
              <w:rPr>
                <w:rFonts w:ascii="Times New Roman" w:hAnsi="Times New Roman" w:cs="Times New Roman"/>
                <w:color w:val="000000"/>
                <w:sz w:val="24"/>
                <w:szCs w:val="24"/>
                <w:lang w:val="uk-UA"/>
              </w:rPr>
              <w:t xml:space="preserve"> ____________________ </w:t>
            </w:r>
            <w:r>
              <w:rPr>
                <w:rFonts w:ascii="Times New Roman" w:hAnsi="Times New Roman" w:cs="Times New Roman"/>
                <w:b/>
                <w:bCs/>
                <w:color w:val="000000"/>
                <w:sz w:val="24"/>
                <w:szCs w:val="24"/>
                <w:lang w:val="uk-UA"/>
              </w:rPr>
              <w:t>Оксана ДОМЕРАТ</w:t>
            </w:r>
          </w:p>
          <w:p>
            <w:pPr>
              <w:spacing w:after="0" w:line="240" w:lineRule="auto"/>
              <w:contextualSpacing/>
              <w:rPr>
                <w:rFonts w:ascii="Times New Roman" w:hAnsi="Times New Roman" w:cs="Times New Roman"/>
                <w:sz w:val="24"/>
                <w:szCs w:val="24"/>
                <w:lang w:val="uk-UA"/>
              </w:rPr>
            </w:pP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М.П.</w:t>
            </w:r>
          </w:p>
        </w:tc>
      </w:tr>
    </w:tbl>
    <w:p>
      <w:pPr>
        <w:suppressAutoHyphens/>
        <w:spacing w:after="0" w:line="240" w:lineRule="atLeast"/>
        <w:ind w:left="235" w:right="-1153" w:firstLine="605"/>
        <w:jc w:val="center"/>
        <w:rPr>
          <w:rFonts w:cs="Microsoft Sans Serif"/>
        </w:rPr>
      </w:pPr>
    </w:p>
    <w:p>
      <w:pPr>
        <w:suppressAutoHyphens/>
        <w:spacing w:after="0" w:line="240" w:lineRule="atLeast"/>
        <w:ind w:left="235" w:right="-1153" w:firstLine="605"/>
        <w:jc w:val="center"/>
        <w:rPr>
          <w:rFonts w:ascii="Times New Roman" w:hAnsi="Times New Roman" w:cs="Times New Roman"/>
          <w:sz w:val="20"/>
          <w:szCs w:val="20"/>
          <w:lang w:val="uk-UA"/>
        </w:rPr>
      </w:pPr>
      <w:r>
        <w:rPr>
          <w:rFonts w:cs="Microsoft Sans Serif"/>
        </w:rPr>
        <w:br w:type="page"/>
      </w:r>
      <w:r>
        <w:rPr>
          <w:lang w:val="uk-UA"/>
        </w:rPr>
        <w:t xml:space="preserve">                                                                                                                </w:t>
      </w:r>
      <w:r>
        <w:rPr>
          <w:rFonts w:ascii="Times New Roman" w:hAnsi="Times New Roman" w:cs="Times New Roman"/>
          <w:sz w:val="20"/>
          <w:szCs w:val="20"/>
          <w:lang w:val="uk-UA"/>
        </w:rPr>
        <w:t>Додаток № 2</w:t>
      </w:r>
    </w:p>
    <w:p>
      <w:pPr>
        <w:suppressAutoHyphens/>
        <w:spacing w:after="0" w:line="240" w:lineRule="atLeast"/>
        <w:ind w:left="235" w:right="-1153" w:firstLine="501"/>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до Договору № ______</w:t>
      </w:r>
    </w:p>
    <w:p>
      <w:pPr>
        <w:suppressAutoHyphens/>
        <w:spacing w:after="0" w:line="240" w:lineRule="atLeast"/>
        <w:ind w:left="235" w:right="-1153" w:firstLine="501"/>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від ____ ____________ 2024 р</w:t>
      </w:r>
    </w:p>
    <w:p>
      <w:pPr>
        <w:spacing w:after="0"/>
        <w:ind w:firstLine="1304"/>
        <w:jc w:val="center"/>
        <w:rPr>
          <w:rStyle w:val="20"/>
          <w:rFonts w:ascii="Times New Roman" w:hAnsi="Times New Roman" w:cs="Times New Roman"/>
          <w:color w:val="000000"/>
          <w:sz w:val="24"/>
          <w:szCs w:val="24"/>
          <w:lang w:val="uk-UA"/>
        </w:rPr>
      </w:pPr>
    </w:p>
    <w:p>
      <w:pPr>
        <w:spacing w:after="0"/>
        <w:ind w:firstLine="1304"/>
        <w:jc w:val="center"/>
        <w:rPr>
          <w:rFonts w:ascii="Times New Roman" w:hAnsi="Times New Roman" w:cs="Times New Roman"/>
        </w:rPr>
      </w:pPr>
      <w:r>
        <w:rPr>
          <w:rStyle w:val="20"/>
          <w:rFonts w:ascii="Times New Roman" w:hAnsi="Times New Roman" w:cs="Times New Roman"/>
          <w:color w:val="000000"/>
          <w:sz w:val="24"/>
          <w:szCs w:val="24"/>
          <w:lang w:val="uk-UA"/>
        </w:rPr>
        <w:t>ТЕХНІЧНІ ВИМОГИ</w:t>
      </w:r>
    </w:p>
    <w:p>
      <w:pPr>
        <w:spacing w:after="0"/>
        <w:ind w:firstLine="1304"/>
        <w:jc w:val="center"/>
        <w:rPr>
          <w:rFonts w:ascii="Times New Roman" w:hAnsi="Times New Roman" w:cs="Times New Roman"/>
          <w:b/>
          <w:bCs/>
          <w:color w:val="000000"/>
          <w:lang w:val="uk-UA"/>
        </w:rPr>
      </w:pPr>
      <w:r>
        <w:rPr>
          <w:rFonts w:ascii="Times New Roman" w:hAnsi="Times New Roman" w:cs="Times New Roman"/>
          <w:b/>
          <w:bCs/>
          <w:color w:val="000000"/>
          <w:lang w:val="uk-UA"/>
        </w:rPr>
        <w:t>Послуга з технічного обслуговування ліфтів</w:t>
      </w:r>
    </w:p>
    <w:p>
      <w:pPr>
        <w:spacing w:after="0"/>
        <w:ind w:firstLine="1304"/>
        <w:jc w:val="center"/>
        <w:rPr>
          <w:rFonts w:ascii="Times New Roman" w:hAnsi="Times New Roman" w:cs="Times New Roman"/>
        </w:rPr>
      </w:pPr>
      <w:r>
        <w:rPr>
          <w:rFonts w:ascii="Times New Roman" w:hAnsi="Times New Roman" w:cs="Times New Roman"/>
          <w:b/>
          <w:bCs/>
          <w:color w:val="000000"/>
          <w:lang w:val="uk-UA"/>
        </w:rPr>
        <w:t>(код за ДК 021:2015 – 50750000-7  Послуги з технічного обслуговування ліфтів)</w:t>
      </w:r>
    </w:p>
    <w:p>
      <w:pPr>
        <w:spacing w:after="0" w:line="240" w:lineRule="atLeast"/>
        <w:ind w:firstLine="437"/>
        <w:jc w:val="both"/>
        <w:rPr>
          <w:rFonts w:ascii="Times New Roman" w:hAnsi="Times New Roman" w:cs="Times New Roman"/>
          <w:color w:val="000000"/>
          <w:lang w:val="uk-UA" w:eastAsia="en-US"/>
        </w:rPr>
      </w:pPr>
    </w:p>
    <w:p>
      <w:pPr>
        <w:spacing w:after="0" w:line="240" w:lineRule="atLeast"/>
        <w:ind w:firstLine="437"/>
        <w:jc w:val="center"/>
        <w:rPr>
          <w:rFonts w:ascii="Times New Roman" w:hAnsi="Times New Roman" w:eastAsia="Times New Roman" w:cs="Microsoft Sans Serif"/>
          <w:sz w:val="24"/>
          <w:szCs w:val="24"/>
          <w:lang w:val="uk-UA" w:eastAsia="en-US"/>
        </w:rPr>
      </w:pPr>
      <w:r>
        <w:rPr>
          <w:rFonts w:ascii="Times New Roman" w:hAnsi="Times New Roman" w:eastAsia="Times New Roman" w:cs="Microsoft Sans Serif"/>
          <w:sz w:val="24"/>
          <w:szCs w:val="24"/>
          <w:lang w:val="uk-UA" w:eastAsia="en-US"/>
        </w:rPr>
        <w:t>Технічне обслуговування має містити у собі комплекс профілактичних та ремонтних робіт, що забезпечує справність і надійну експлуатацію ліфтів згідно ПББЕЛ, ПБЕ, ПТЕЕС, ПТБ, Закону України «Про охорону праці», діючих нормативних актів.</w:t>
      </w:r>
    </w:p>
    <w:p>
      <w:pPr>
        <w:spacing w:after="0" w:line="240" w:lineRule="atLeast"/>
        <w:ind w:firstLine="437"/>
        <w:jc w:val="center"/>
        <w:rPr>
          <w:rFonts w:ascii="Times New Roman" w:hAnsi="Times New Roman" w:cs="Times New Roman"/>
        </w:rPr>
      </w:pPr>
      <w:r>
        <w:rPr>
          <w:rFonts w:ascii="Times New Roman" w:hAnsi="Times New Roman" w:cs="Times New Roman"/>
          <w:b/>
          <w:bCs/>
          <w:color w:val="000000"/>
          <w:lang w:val="uk-UA" w:eastAsia="uk-UA"/>
        </w:rPr>
        <w:t>Технічні характеристики ліфтів</w:t>
      </w:r>
    </w:p>
    <w:p>
      <w:pPr>
        <w:spacing w:after="0"/>
        <w:ind w:left="360"/>
        <w:rPr>
          <w:rFonts w:ascii="Times New Roman" w:hAnsi="Times New Roman" w:cs="Times New Roman"/>
          <w:b/>
          <w:bCs/>
          <w:color w:val="000000"/>
          <w:lang w:val="uk-UA" w:eastAsia="uk-UA"/>
        </w:rPr>
      </w:pPr>
    </w:p>
    <w:tbl>
      <w:tblPr>
        <w:tblStyle w:val="7"/>
        <w:tblW w:w="10666" w:type="dxa"/>
        <w:tblCellSpacing w:w="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16"/>
        <w:gridCol w:w="987"/>
        <w:gridCol w:w="950"/>
        <w:gridCol w:w="1475"/>
        <w:gridCol w:w="1150"/>
        <w:gridCol w:w="1438"/>
        <w:gridCol w:w="1037"/>
        <w:gridCol w:w="8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64" w:hRule="atLeast"/>
          <w:tblCellSpacing w:w="0" w:type="dxa"/>
        </w:trPr>
        <w:tc>
          <w:tcPr>
            <w:tcW w:w="281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color w:val="000000"/>
                <w:sz w:val="24"/>
                <w:szCs w:val="24"/>
                <w:lang w:val="uk-UA" w:eastAsia="uk-UA"/>
              </w:rPr>
            </w:pPr>
            <w:r>
              <w:rPr>
                <w:rFonts w:ascii="Times New Roman" w:hAnsi="Times New Roman"/>
                <w:i/>
                <w:iCs/>
                <w:color w:val="000000"/>
                <w:sz w:val="24"/>
                <w:szCs w:val="24"/>
                <w:lang w:val="uk-UA" w:eastAsia="uk-UA"/>
              </w:rPr>
              <w:t>Адреса установки ліфта</w:t>
            </w:r>
          </w:p>
        </w:tc>
        <w:tc>
          <w:tcPr>
            <w:tcW w:w="987"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color w:val="000000"/>
                <w:sz w:val="24"/>
                <w:szCs w:val="24"/>
                <w:lang w:val="uk-UA" w:eastAsia="uk-UA"/>
              </w:rPr>
            </w:pPr>
            <w:r>
              <w:rPr>
                <w:rFonts w:ascii="Times New Roman" w:hAnsi="Times New Roman"/>
                <w:i/>
                <w:iCs/>
                <w:color w:val="000000"/>
                <w:sz w:val="24"/>
                <w:szCs w:val="24"/>
                <w:lang w:val="uk-UA" w:eastAsia="uk-UA"/>
              </w:rPr>
              <w:t>Назва ліфта</w:t>
            </w:r>
          </w:p>
        </w:tc>
        <w:tc>
          <w:tcPr>
            <w:tcW w:w="95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right="-184"/>
              <w:rPr>
                <w:rFonts w:ascii="Times New Roman" w:hAnsi="Times New Roman"/>
                <w:color w:val="000000"/>
                <w:sz w:val="24"/>
                <w:szCs w:val="24"/>
                <w:lang w:val="uk-UA" w:eastAsia="uk-UA"/>
              </w:rPr>
            </w:pPr>
            <w:r>
              <w:rPr>
                <w:rFonts w:ascii="Times New Roman" w:hAnsi="Times New Roman"/>
                <w:i/>
                <w:iCs/>
                <w:color w:val="000000"/>
                <w:sz w:val="24"/>
                <w:szCs w:val="24"/>
                <w:lang w:val="uk-UA" w:eastAsia="uk-UA"/>
              </w:rPr>
              <w:t>К-сть</w:t>
            </w:r>
          </w:p>
          <w:p>
            <w:pPr>
              <w:spacing w:after="0" w:line="240" w:lineRule="auto"/>
              <w:rPr>
                <w:rFonts w:ascii="Times New Roman" w:hAnsi="Times New Roman"/>
                <w:color w:val="000000"/>
                <w:sz w:val="24"/>
                <w:szCs w:val="24"/>
                <w:lang w:val="uk-UA" w:eastAsia="uk-UA"/>
              </w:rPr>
            </w:pPr>
          </w:p>
        </w:tc>
        <w:tc>
          <w:tcPr>
            <w:tcW w:w="147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color w:val="000000"/>
                <w:sz w:val="24"/>
                <w:szCs w:val="24"/>
                <w:lang w:val="uk-UA" w:eastAsia="uk-UA"/>
              </w:rPr>
            </w:pPr>
            <w:r>
              <w:rPr>
                <w:rFonts w:ascii="Times New Roman" w:hAnsi="Times New Roman"/>
                <w:i/>
                <w:iCs/>
                <w:color w:val="000000"/>
                <w:sz w:val="24"/>
                <w:szCs w:val="24"/>
                <w:lang w:val="uk-UA" w:eastAsia="uk-UA"/>
              </w:rPr>
              <w:t>Вантажо-підйомність</w:t>
            </w:r>
          </w:p>
          <w:p>
            <w:pPr>
              <w:spacing w:after="0" w:line="240" w:lineRule="auto"/>
              <w:rPr>
                <w:rFonts w:ascii="Times New Roman" w:hAnsi="Times New Roman"/>
                <w:color w:val="000000"/>
                <w:sz w:val="24"/>
                <w:szCs w:val="24"/>
                <w:lang w:val="uk-UA" w:eastAsia="uk-UA"/>
              </w:rPr>
            </w:pPr>
            <w:r>
              <w:rPr>
                <w:rFonts w:ascii="Times New Roman" w:hAnsi="Times New Roman"/>
                <w:i/>
                <w:iCs/>
                <w:color w:val="000000"/>
                <w:sz w:val="24"/>
                <w:szCs w:val="24"/>
                <w:lang w:val="uk-UA" w:eastAsia="uk-UA"/>
              </w:rPr>
              <w:t>(кг)</w:t>
            </w:r>
          </w:p>
        </w:tc>
        <w:tc>
          <w:tcPr>
            <w:tcW w:w="115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color w:val="000000"/>
                <w:sz w:val="24"/>
                <w:szCs w:val="24"/>
                <w:lang w:val="uk-UA" w:eastAsia="uk-UA"/>
              </w:rPr>
            </w:pPr>
            <w:r>
              <w:rPr>
                <w:rFonts w:ascii="Times New Roman" w:hAnsi="Times New Roman"/>
                <w:i/>
                <w:iCs/>
                <w:color w:val="000000"/>
                <w:sz w:val="24"/>
                <w:szCs w:val="24"/>
                <w:lang w:val="uk-UA" w:eastAsia="uk-UA"/>
              </w:rPr>
              <w:t>Рік</w:t>
            </w:r>
          </w:p>
          <w:p>
            <w:pPr>
              <w:spacing w:after="0" w:line="240" w:lineRule="auto"/>
              <w:rPr>
                <w:rFonts w:ascii="Times New Roman" w:hAnsi="Times New Roman"/>
                <w:color w:val="000000"/>
                <w:sz w:val="24"/>
                <w:szCs w:val="24"/>
                <w:lang w:val="en-US" w:eastAsia="uk-UA"/>
              </w:rPr>
            </w:pPr>
            <w:r>
              <w:rPr>
                <w:i/>
                <w:iCs/>
                <w:color w:val="000000"/>
                <w:sz w:val="24"/>
                <w:szCs w:val="24"/>
                <w:lang w:val="uk-UA" w:eastAsia="uk-UA"/>
              </w:rPr>
              <w:t>встановлення</w:t>
            </w:r>
            <w:r>
              <w:rPr>
                <w:i/>
                <w:iCs/>
                <w:color w:val="000000"/>
                <w:sz w:val="24"/>
                <w:szCs w:val="24"/>
                <w:lang w:val="en-US" w:eastAsia="uk-UA"/>
              </w:rPr>
              <w:t xml:space="preserve"> </w:t>
            </w:r>
          </w:p>
        </w:tc>
        <w:tc>
          <w:tcPr>
            <w:tcW w:w="1438"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color w:val="000000"/>
                <w:sz w:val="24"/>
                <w:szCs w:val="24"/>
                <w:lang w:val="uk-UA" w:eastAsia="uk-UA"/>
              </w:rPr>
            </w:pPr>
            <w:r>
              <w:rPr>
                <w:rFonts w:ascii="Times New Roman" w:hAnsi="Times New Roman"/>
                <w:i/>
                <w:iCs/>
                <w:color w:val="000000"/>
                <w:sz w:val="24"/>
                <w:szCs w:val="24"/>
                <w:lang w:val="uk-UA" w:eastAsia="uk-UA"/>
              </w:rPr>
              <w:t>Термін</w:t>
            </w:r>
          </w:p>
          <w:p>
            <w:pPr>
              <w:spacing w:after="0" w:line="240" w:lineRule="auto"/>
              <w:rPr>
                <w:rFonts w:ascii="Times New Roman" w:hAnsi="Times New Roman"/>
                <w:i/>
                <w:iCs/>
                <w:color w:val="000000"/>
                <w:sz w:val="24"/>
                <w:szCs w:val="24"/>
                <w:lang w:val="uk-UA" w:eastAsia="uk-UA"/>
              </w:rPr>
            </w:pPr>
            <w:r>
              <w:rPr>
                <w:i/>
                <w:iCs/>
                <w:color w:val="000000"/>
                <w:sz w:val="24"/>
                <w:szCs w:val="24"/>
                <w:lang w:val="uk-UA" w:eastAsia="uk-UA"/>
              </w:rPr>
              <w:t>експлуатації</w:t>
            </w:r>
            <w:r>
              <w:rPr>
                <w:i/>
                <w:iCs/>
                <w:color w:val="000000"/>
                <w:sz w:val="24"/>
                <w:szCs w:val="24"/>
                <w:lang w:val="en-US" w:eastAsia="uk-UA"/>
              </w:rPr>
              <w:t>, роки</w:t>
            </w:r>
          </w:p>
        </w:tc>
        <w:tc>
          <w:tcPr>
            <w:tcW w:w="1037"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color w:val="000000"/>
                <w:sz w:val="24"/>
                <w:szCs w:val="24"/>
                <w:lang w:val="uk-UA" w:eastAsia="uk-UA"/>
              </w:rPr>
            </w:pPr>
            <w:r>
              <w:rPr>
                <w:rFonts w:ascii="Times New Roman" w:hAnsi="Times New Roman"/>
                <w:i/>
                <w:iCs/>
                <w:color w:val="000000"/>
                <w:sz w:val="24"/>
                <w:szCs w:val="24"/>
                <w:lang w:val="uk-UA" w:eastAsia="uk-UA"/>
              </w:rPr>
              <w:t>Швидк-кість м/с</w:t>
            </w:r>
          </w:p>
        </w:tc>
        <w:tc>
          <w:tcPr>
            <w:tcW w:w="81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right="-184"/>
              <w:rPr>
                <w:rFonts w:ascii="Times New Roman" w:hAnsi="Times New Roman"/>
                <w:color w:val="000000"/>
                <w:sz w:val="24"/>
                <w:szCs w:val="24"/>
                <w:lang w:val="uk-UA" w:eastAsia="uk-UA"/>
              </w:rPr>
            </w:pPr>
            <w:r>
              <w:rPr>
                <w:rFonts w:ascii="Times New Roman" w:hAnsi="Times New Roman"/>
                <w:i/>
                <w:iCs/>
                <w:color w:val="000000"/>
                <w:sz w:val="24"/>
                <w:szCs w:val="24"/>
                <w:lang w:val="uk-UA" w:eastAsia="uk-UA"/>
              </w:rPr>
              <w:t>К-сть</w:t>
            </w:r>
          </w:p>
          <w:p>
            <w:pPr>
              <w:spacing w:after="0" w:line="240" w:lineRule="auto"/>
              <w:rPr>
                <w:rFonts w:ascii="Times New Roman" w:hAnsi="Times New Roman"/>
                <w:color w:val="000000"/>
                <w:sz w:val="24"/>
                <w:szCs w:val="24"/>
                <w:lang w:val="uk-UA" w:eastAsia="uk-UA"/>
              </w:rPr>
            </w:pPr>
            <w:r>
              <w:rPr>
                <w:rFonts w:ascii="Times New Roman" w:hAnsi="Times New Roman"/>
                <w:i/>
                <w:iCs/>
                <w:color w:val="000000"/>
                <w:sz w:val="24"/>
                <w:szCs w:val="24"/>
                <w:lang w:val="uk-UA" w:eastAsia="uk-UA"/>
              </w:rPr>
              <w:t>зуп.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blCellSpacing w:w="0" w:type="dxa"/>
        </w:trPr>
        <w:tc>
          <w:tcPr>
            <w:tcW w:w="281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color w:val="000000"/>
                <w:sz w:val="22"/>
                <w:szCs w:val="22"/>
                <w:lang w:val="en-US" w:eastAsia="uk-UA"/>
              </w:rPr>
            </w:pPr>
            <w:r>
              <w:rPr>
                <w:rFonts w:ascii="Times New Roman" w:hAnsi="Times New Roman"/>
                <w:color w:val="000000"/>
                <w:sz w:val="22"/>
                <w:szCs w:val="22"/>
                <w:lang w:val="uk-UA" w:eastAsia="uk-UA"/>
              </w:rPr>
              <w:t>вул</w:t>
            </w:r>
            <w:r>
              <w:rPr>
                <w:rFonts w:ascii="Times New Roman" w:hAnsi="Times New Roman"/>
                <w:color w:val="000000"/>
                <w:sz w:val="22"/>
                <w:szCs w:val="22"/>
                <w:lang w:val="en-US" w:eastAsia="uk-UA"/>
              </w:rPr>
              <w:t>.</w:t>
            </w:r>
            <w:r>
              <w:rPr>
                <w:color w:val="000000"/>
                <w:sz w:val="22"/>
                <w:szCs w:val="22"/>
                <w:lang w:val="en-US" w:eastAsia="uk-UA"/>
              </w:rPr>
              <w:t xml:space="preserve"> </w:t>
            </w:r>
            <w:r>
              <w:rPr>
                <w:rFonts w:ascii="Times New Roman" w:hAnsi="Times New Roman"/>
                <w:color w:val="000000"/>
                <w:sz w:val="22"/>
                <w:szCs w:val="22"/>
                <w:lang w:val="en-US" w:eastAsia="uk-UA"/>
              </w:rPr>
              <w:t>К</w:t>
            </w:r>
            <w:r>
              <w:rPr>
                <w:color w:val="000000"/>
                <w:sz w:val="22"/>
                <w:szCs w:val="22"/>
                <w:lang w:val="en-US" w:eastAsia="uk-UA"/>
              </w:rPr>
              <w:t xml:space="preserve">остянтина </w:t>
            </w:r>
            <w:r>
              <w:rPr>
                <w:rFonts w:ascii="Times New Roman" w:hAnsi="Times New Roman"/>
                <w:color w:val="000000"/>
                <w:sz w:val="22"/>
                <w:szCs w:val="22"/>
                <w:lang w:val="en-US" w:eastAsia="uk-UA"/>
              </w:rPr>
              <w:t>Василенка, 21</w:t>
            </w:r>
          </w:p>
        </w:tc>
        <w:tc>
          <w:tcPr>
            <w:tcW w:w="987"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sz w:val="22"/>
                <w:szCs w:val="22"/>
                <w:lang w:val="uk-UA" w:eastAsia="uk-UA"/>
              </w:rPr>
            </w:pPr>
            <w:r>
              <w:rPr>
                <w:rFonts w:ascii="Times New Roman" w:hAnsi="Times New Roman"/>
                <w:sz w:val="22"/>
                <w:szCs w:val="22"/>
                <w:lang w:val="uk-UA" w:eastAsia="uk-UA"/>
              </w:rPr>
              <w:t>пасаж</w:t>
            </w:r>
          </w:p>
        </w:tc>
        <w:tc>
          <w:tcPr>
            <w:tcW w:w="95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sz w:val="22"/>
                <w:szCs w:val="22"/>
                <w:lang w:val="en-US" w:eastAsia="uk-UA"/>
              </w:rPr>
            </w:pPr>
            <w:r>
              <w:rPr>
                <w:sz w:val="22"/>
                <w:szCs w:val="22"/>
                <w:lang w:val="en-US" w:eastAsia="uk-UA"/>
              </w:rPr>
              <w:t>4</w:t>
            </w:r>
          </w:p>
        </w:tc>
        <w:tc>
          <w:tcPr>
            <w:tcW w:w="147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sz w:val="22"/>
                <w:szCs w:val="22"/>
                <w:lang w:val="uk-UA" w:eastAsia="uk-UA"/>
              </w:rPr>
            </w:pPr>
            <w:r>
              <w:rPr>
                <w:rFonts w:ascii="Times New Roman" w:hAnsi="Times New Roman"/>
                <w:sz w:val="22"/>
                <w:szCs w:val="22"/>
                <w:lang w:val="uk-UA" w:eastAsia="uk-UA"/>
              </w:rPr>
              <w:t>500</w:t>
            </w:r>
          </w:p>
        </w:tc>
        <w:tc>
          <w:tcPr>
            <w:tcW w:w="115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sz w:val="22"/>
                <w:szCs w:val="22"/>
                <w:lang w:val="uk-UA" w:eastAsia="uk-UA"/>
              </w:rPr>
            </w:pPr>
            <w:r>
              <w:rPr>
                <w:rFonts w:ascii="Times New Roman" w:hAnsi="Times New Roman"/>
                <w:sz w:val="22"/>
                <w:szCs w:val="22"/>
                <w:lang w:val="uk-UA" w:eastAsia="uk-UA"/>
              </w:rPr>
              <w:t>2010</w:t>
            </w:r>
          </w:p>
        </w:tc>
        <w:tc>
          <w:tcPr>
            <w:tcW w:w="1438"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sz w:val="22"/>
                <w:szCs w:val="22"/>
                <w:lang w:val="en-US" w:eastAsia="uk-UA"/>
              </w:rPr>
            </w:pPr>
            <w:r>
              <w:rPr>
                <w:rFonts w:ascii="Times New Roman" w:hAnsi="Times New Roman"/>
                <w:sz w:val="22"/>
                <w:szCs w:val="22"/>
                <w:lang w:val="uk-UA" w:eastAsia="uk-UA"/>
              </w:rPr>
              <w:t>1</w:t>
            </w:r>
            <w:r>
              <w:rPr>
                <w:sz w:val="22"/>
                <w:szCs w:val="22"/>
                <w:lang w:val="en-US" w:eastAsia="uk-UA"/>
              </w:rPr>
              <w:t>3</w:t>
            </w:r>
          </w:p>
        </w:tc>
        <w:tc>
          <w:tcPr>
            <w:tcW w:w="1037"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sz w:val="22"/>
                <w:szCs w:val="22"/>
                <w:lang w:val="uk-UA" w:eastAsia="uk-UA"/>
              </w:rPr>
            </w:pPr>
            <w:r>
              <w:rPr>
                <w:rFonts w:ascii="Times New Roman" w:hAnsi="Times New Roman"/>
                <w:sz w:val="22"/>
                <w:szCs w:val="22"/>
                <w:lang w:val="uk-UA" w:eastAsia="uk-UA"/>
              </w:rPr>
              <w:t>1,0</w:t>
            </w:r>
          </w:p>
        </w:tc>
        <w:tc>
          <w:tcPr>
            <w:tcW w:w="81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sz w:val="22"/>
                <w:szCs w:val="22"/>
                <w:lang w:val="uk-UA" w:eastAsia="uk-UA"/>
              </w:rPr>
            </w:pPr>
            <w:r>
              <w:rPr>
                <w:rFonts w:ascii="Times New Roman" w:hAnsi="Times New Roman"/>
                <w:sz w:val="22"/>
                <w:szCs w:val="22"/>
                <w:lang w:val="uk-UA" w:eastAsia="uk-UA"/>
              </w:rPr>
              <w:t>9</w:t>
            </w:r>
          </w:p>
        </w:tc>
      </w:tr>
    </w:tbl>
    <w:p>
      <w:pPr>
        <w:spacing w:after="0"/>
        <w:ind w:left="360"/>
        <w:rPr>
          <w:rFonts w:ascii="Times New Roman" w:hAnsi="Times New Roman" w:cs="Times New Roman"/>
          <w:b/>
          <w:bCs/>
          <w:color w:val="000000"/>
          <w:lang w:val="uk-UA" w:eastAsia="uk-UA"/>
        </w:rPr>
      </w:pPr>
    </w:p>
    <w:p>
      <w:pPr>
        <w:spacing w:after="0"/>
        <w:ind w:firstLine="397"/>
        <w:rPr>
          <w:rFonts w:ascii="Times New Roman" w:hAnsi="Times New Roman" w:cs="Times New Roman"/>
        </w:rPr>
      </w:pPr>
      <w:r>
        <w:rPr>
          <w:rFonts w:ascii="Times New Roman" w:hAnsi="Times New Roman" w:cs="Times New Roman"/>
          <w:b/>
          <w:bCs/>
          <w:color w:val="000000"/>
          <w:lang w:val="uk-UA" w:eastAsia="uk-UA"/>
        </w:rPr>
        <w:t xml:space="preserve">Вимоги: </w:t>
      </w:r>
    </w:p>
    <w:p>
      <w:pPr>
        <w:numPr>
          <w:ilvl w:val="0"/>
          <w:numId w:val="3"/>
        </w:numPr>
        <w:spacing w:after="0"/>
        <w:ind w:firstLine="397"/>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Проведення планового та аварійного огляду в т.ч. вимірювання опору розтікання на основних заземлювачах і заземленнях магістралей і устаткування; </w:t>
      </w:r>
    </w:p>
    <w:p>
      <w:pPr>
        <w:numPr>
          <w:ilvl w:val="0"/>
          <w:numId w:val="0"/>
        </w:numPr>
        <w:spacing w:after="0"/>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 перевірка ізоляцій силової та освітлювальної проводки, устаткування; </w:t>
      </w:r>
    </w:p>
    <w:p>
      <w:pPr>
        <w:numPr>
          <w:ilvl w:val="0"/>
          <w:numId w:val="0"/>
        </w:numPr>
        <w:spacing w:after="0"/>
        <w:rPr>
          <w:rFonts w:ascii="Times New Roman" w:hAnsi="Times New Roman" w:cs="Times New Roman"/>
          <w:color w:val="000000"/>
          <w:lang w:val="uk-UA" w:eastAsia="uk-UA"/>
        </w:rPr>
      </w:pPr>
      <w:r>
        <w:rPr>
          <w:rFonts w:ascii="Times New Roman" w:hAnsi="Times New Roman" w:cs="Times New Roman"/>
          <w:color w:val="000000"/>
          <w:lang w:val="uk-UA" w:eastAsia="uk-UA"/>
        </w:rPr>
        <w:t>- перевірка повного опору петлі фаза 0.</w:t>
      </w:r>
    </w:p>
    <w:p>
      <w:pPr>
        <w:spacing w:after="0"/>
        <w:ind w:firstLine="397"/>
        <w:rPr>
          <w:rFonts w:ascii="Times New Roman" w:hAnsi="Times New Roman" w:cs="Times New Roman"/>
          <w:color w:val="000000"/>
          <w:lang w:val="uk-UA" w:eastAsia="uk-UA"/>
        </w:rPr>
      </w:pPr>
      <w:r>
        <w:rPr>
          <w:rFonts w:ascii="Times New Roman" w:hAnsi="Times New Roman" w:cs="Times New Roman"/>
          <w:color w:val="000000"/>
          <w:lang w:val="uk-UA" w:eastAsia="uk-UA"/>
        </w:rPr>
        <w:t>2. Обов’язково по закінченні перевірки та технічного огляду оформлення протоколу перевірки.</w:t>
      </w:r>
    </w:p>
    <w:p>
      <w:pPr>
        <w:spacing w:after="0"/>
        <w:ind w:firstLine="397"/>
        <w:rPr>
          <w:rFonts w:ascii="Times New Roman" w:hAnsi="Times New Roman" w:cs="Times New Roman"/>
          <w:color w:val="000000"/>
          <w:lang w:val="uk-UA" w:eastAsia="uk-UA"/>
        </w:rPr>
      </w:pPr>
      <w:r>
        <w:rPr>
          <w:rFonts w:ascii="Times New Roman" w:hAnsi="Times New Roman" w:cs="Times New Roman"/>
          <w:color w:val="000000"/>
          <w:lang w:val="uk-UA" w:eastAsia="uk-UA"/>
        </w:rPr>
        <w:t>3. Регулярні планові та позапланові перевірки з обов’язковою відміткою в журналі   «Реєстрації технічного обслуговування і ремонту ліфта».</w:t>
      </w:r>
    </w:p>
    <w:p>
      <w:pPr>
        <w:spacing w:after="0"/>
        <w:ind w:firstLine="397"/>
        <w:rPr>
          <w:rFonts w:ascii="Times New Roman" w:hAnsi="Times New Roman" w:cs="Times New Roman"/>
          <w:lang w:val="uk-UA"/>
        </w:rPr>
      </w:pPr>
      <w:r>
        <w:rPr>
          <w:rFonts w:ascii="Times New Roman" w:hAnsi="Times New Roman" w:cs="Times New Roman"/>
          <w:color w:val="000000"/>
          <w:lang w:val="uk-UA" w:eastAsia="uk-UA"/>
        </w:rPr>
        <w:t> </w:t>
      </w:r>
    </w:p>
    <w:p>
      <w:pPr>
        <w:spacing w:after="0"/>
        <w:ind w:firstLine="397"/>
        <w:rPr>
          <w:rFonts w:ascii="Times New Roman" w:hAnsi="Times New Roman" w:cs="Times New Roman"/>
        </w:rPr>
      </w:pPr>
      <w:r>
        <w:rPr>
          <w:rFonts w:ascii="Times New Roman" w:hAnsi="Times New Roman" w:cs="Times New Roman"/>
          <w:b/>
          <w:bCs/>
          <w:color w:val="000000"/>
          <w:lang w:val="uk-UA" w:eastAsia="uk-UA"/>
        </w:rPr>
        <w:t>Час прибуття аварійної служби 20 хв. після отримання виклику.</w:t>
      </w:r>
    </w:p>
    <w:p>
      <w:pPr>
        <w:spacing w:after="0"/>
        <w:ind w:firstLine="397"/>
        <w:rPr>
          <w:rFonts w:ascii="Times New Roman" w:hAnsi="Times New Roman" w:cs="Times New Roman"/>
          <w:b/>
          <w:bCs/>
          <w:color w:val="000000"/>
          <w:lang w:val="uk-UA" w:eastAsia="uk-UA"/>
        </w:rPr>
      </w:pPr>
    </w:p>
    <w:p>
      <w:pPr>
        <w:suppressAutoHyphens/>
        <w:spacing w:after="0"/>
        <w:ind w:left="360"/>
        <w:jc w:val="center"/>
        <w:rPr>
          <w:rFonts w:ascii="Times New Roman" w:hAnsi="Times New Roman" w:cs="Times New Roman"/>
          <w:b/>
          <w:bCs/>
          <w:i/>
          <w:iCs/>
          <w:sz w:val="24"/>
          <w:szCs w:val="24"/>
          <w:lang w:val="uk-UA"/>
        </w:rPr>
      </w:pPr>
      <w:r>
        <w:rPr>
          <w:rFonts w:ascii="Times New Roman" w:hAnsi="Times New Roman" w:cs="Times New Roman"/>
          <w:b/>
          <w:bCs/>
          <w:sz w:val="24"/>
          <w:szCs w:val="24"/>
          <w:lang w:val="uk-UA"/>
        </w:rPr>
        <w:t>ТЕХНІЧНІ УМОВИ ТА ВИМОГИ З ОБСЛУГОВУВАННЯ ОБЛАДНАННЯ</w:t>
      </w:r>
    </w:p>
    <w:p>
      <w:pPr>
        <w:pStyle w:val="2"/>
        <w:widowControl/>
        <w:numPr>
          <w:ilvl w:val="2"/>
          <w:numId w:val="0"/>
        </w:numPr>
        <w:tabs>
          <w:tab w:val="clear" w:pos="0"/>
          <w:tab w:val="clear" w:pos="1440"/>
        </w:tabs>
        <w:ind w:left="315" w:leftChars="150" w:firstLine="240" w:firstLineChars="100"/>
        <w:jc w:val="both"/>
        <w:rPr>
          <w:rFonts w:ascii="Times New Roman" w:hAnsi="Times New Roman" w:cs="Times New Roman"/>
          <w:color w:val="auto"/>
          <w:sz w:val="24"/>
          <w:szCs w:val="24"/>
          <w:lang w:val="uk-UA"/>
        </w:rPr>
      </w:pPr>
      <w:r>
        <w:rPr>
          <w:rFonts w:ascii="Times New Roman" w:hAnsi="Times New Roman" w:cs="Times New Roman"/>
          <w:b/>
          <w:bCs/>
          <w:i/>
          <w:iCs/>
          <w:color w:val="auto"/>
          <w:sz w:val="24"/>
          <w:szCs w:val="24"/>
          <w:lang w:val="uk-UA"/>
        </w:rPr>
        <w:t>До складу робіт згідно «Положенню про систему технічного обслуговування та ремонту ліфтів в Україні» затверджений наказом Державного комітету будівництва, архітектури та житлової політики України від 10 квітня 2000 р. №73 входять:</w:t>
      </w:r>
    </w:p>
    <w:p>
      <w:pPr>
        <w:pStyle w:val="21"/>
        <w:numPr>
          <w:ilvl w:val="0"/>
          <w:numId w:val="4"/>
        </w:numPr>
        <w:ind w:firstLine="360" w:firstLineChars="150"/>
        <w:jc w:val="both"/>
        <w:rPr>
          <w:rFonts w:ascii="Times New Roman" w:hAnsi="Times New Roman" w:cs="Times New Roman"/>
          <w:sz w:val="24"/>
          <w:szCs w:val="24"/>
          <w:lang w:val="uk-UA"/>
        </w:rPr>
      </w:pPr>
      <w:r>
        <w:rPr>
          <w:rFonts w:ascii="Times New Roman" w:hAnsi="Times New Roman" w:cs="Times New Roman"/>
          <w:sz w:val="24"/>
          <w:szCs w:val="24"/>
          <w:lang w:val="uk-UA"/>
        </w:rPr>
        <w:t>1. Забезпечення якісної безперебійної та безпечної роботи ліфтів;</w:t>
      </w:r>
    </w:p>
    <w:p>
      <w:pPr>
        <w:pStyle w:val="21"/>
        <w:numPr>
          <w:ilvl w:val="0"/>
          <w:numId w:val="4"/>
        </w:numPr>
        <w:ind w:firstLine="360" w:firstLineChars="15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Надання послуг та виконання ремонтних робіт навченим та атестованим персоналом; </w:t>
      </w:r>
    </w:p>
    <w:p>
      <w:pPr>
        <w:pStyle w:val="21"/>
        <w:numPr>
          <w:ilvl w:val="0"/>
          <w:numId w:val="4"/>
        </w:numPr>
        <w:ind w:firstLine="360" w:firstLineChars="150"/>
        <w:jc w:val="both"/>
        <w:rPr>
          <w:rFonts w:ascii="Times New Roman" w:hAnsi="Times New Roman" w:cs="Times New Roman"/>
          <w:sz w:val="24"/>
          <w:szCs w:val="24"/>
          <w:lang w:val="uk-UA"/>
        </w:rPr>
      </w:pPr>
      <w:r>
        <w:rPr>
          <w:rFonts w:ascii="Times New Roman" w:hAnsi="Times New Roman" w:cs="Times New Roman"/>
          <w:sz w:val="24"/>
          <w:szCs w:val="24"/>
          <w:lang w:val="uk-UA"/>
        </w:rPr>
        <w:t>3. Технічне обслуговування ліфтів здійснюється згідно «Положення про систему технічного обслуговування та ремонту ліфтів в Україні (кд 36-001-2000р)»;</w:t>
      </w:r>
    </w:p>
    <w:p>
      <w:pPr>
        <w:pStyle w:val="21"/>
        <w:numPr>
          <w:ilvl w:val="0"/>
          <w:numId w:val="4"/>
        </w:numPr>
        <w:ind w:firstLine="360" w:firstLineChars="150"/>
        <w:jc w:val="both"/>
        <w:rPr>
          <w:rFonts w:ascii="Times New Roman" w:hAnsi="Times New Roman" w:cs="Times New Roman"/>
          <w:sz w:val="24"/>
          <w:szCs w:val="24"/>
          <w:lang w:val="uk-UA"/>
        </w:rPr>
      </w:pPr>
      <w:r>
        <w:rPr>
          <w:rFonts w:ascii="Times New Roman" w:hAnsi="Times New Roman" w:cs="Times New Roman"/>
          <w:sz w:val="24"/>
          <w:szCs w:val="24"/>
        </w:rPr>
        <w:t>4</w:t>
      </w:r>
      <w:r>
        <w:rPr>
          <w:rFonts w:ascii="Times New Roman" w:hAnsi="Times New Roman" w:cs="Times New Roman"/>
          <w:sz w:val="24"/>
          <w:szCs w:val="24"/>
          <w:lang w:val="uk-UA"/>
        </w:rPr>
        <w:t>. Проведення регламентних робіт попереджувального характеру, що виконуються в плановому порядку і спрямовані на забезпечення безперебійної роботи ліфтів;</w:t>
      </w:r>
    </w:p>
    <w:p>
      <w:pPr>
        <w:pStyle w:val="21"/>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rPr>
        <w:t>5</w:t>
      </w:r>
      <w:r>
        <w:rPr>
          <w:rFonts w:ascii="Times New Roman" w:hAnsi="Times New Roman" w:cs="Times New Roman"/>
          <w:sz w:val="24"/>
          <w:szCs w:val="24"/>
          <w:lang w:val="uk-UA"/>
        </w:rPr>
        <w:t xml:space="preserve">. Забезпечення надання послуг техобслуговування в робочі дні з 8:30 до 17:00 </w:t>
      </w:r>
      <w:r>
        <w:rPr>
          <w:rFonts w:ascii="Times New Roman" w:hAnsi="Times New Roman" w:eastAsia="Times New Roman" w:cs="Times New Roman"/>
          <w:sz w:val="24"/>
          <w:szCs w:val="24"/>
          <w:lang w:val="uk-UA"/>
        </w:rPr>
        <w:t xml:space="preserve">в період з </w:t>
      </w:r>
      <w:r>
        <w:rPr>
          <w:rFonts w:ascii="Times New Roman" w:hAnsi="Times New Roman" w:cs="Times New Roman"/>
          <w:sz w:val="24"/>
          <w:szCs w:val="24"/>
          <w:lang w:val="uk-UA"/>
        </w:rPr>
        <w:t>16</w:t>
      </w:r>
      <w:r>
        <w:rPr>
          <w:rFonts w:ascii="Times New Roman" w:hAnsi="Times New Roman" w:eastAsia="Times New Roman" w:cs="Times New Roman"/>
          <w:sz w:val="24"/>
          <w:szCs w:val="24"/>
          <w:lang w:val="uk-UA"/>
        </w:rPr>
        <w:t>.0</w:t>
      </w:r>
      <w:r>
        <w:rPr>
          <w:rFonts w:ascii="Times New Roman" w:hAnsi="Times New Roman" w:cs="Times New Roman"/>
          <w:sz w:val="24"/>
          <w:szCs w:val="24"/>
          <w:lang w:val="uk-UA"/>
        </w:rPr>
        <w:t>2</w:t>
      </w:r>
      <w:r>
        <w:rPr>
          <w:rFonts w:ascii="Times New Roman" w:hAnsi="Times New Roman" w:eastAsia="Times New Roman" w:cs="Times New Roman"/>
          <w:sz w:val="24"/>
          <w:szCs w:val="24"/>
          <w:lang w:val="uk-UA"/>
        </w:rPr>
        <w:t>.2024 по 31.12.2024</w:t>
      </w:r>
      <w:r>
        <w:rPr>
          <w:rFonts w:ascii="Times New Roman" w:hAnsi="Times New Roman" w:cs="Times New Roman"/>
          <w:sz w:val="24"/>
          <w:szCs w:val="24"/>
          <w:lang w:val="uk-UA"/>
        </w:rPr>
        <w:t xml:space="preserve"> </w:t>
      </w:r>
      <w:bookmarkStart w:id="24" w:name="_GoBack"/>
      <w:bookmarkEnd w:id="24"/>
      <w:r>
        <w:rPr>
          <w:rFonts w:ascii="Times New Roman" w:hAnsi="Times New Roman" w:eastAsia="Times New Roman" w:cs="Times New Roman"/>
          <w:sz w:val="24"/>
          <w:szCs w:val="24"/>
          <w:lang w:val="uk-UA"/>
        </w:rPr>
        <w:t>р.</w:t>
      </w:r>
      <w:r>
        <w:rPr>
          <w:rFonts w:ascii="Times New Roman" w:hAnsi="Times New Roman" w:cs="Times New Roman"/>
          <w:sz w:val="24"/>
          <w:szCs w:val="24"/>
          <w:lang w:val="uk-UA"/>
        </w:rPr>
        <w:t>;</w:t>
      </w:r>
    </w:p>
    <w:p>
      <w:pPr>
        <w:pStyle w:val="21"/>
        <w:numPr>
          <w:ilvl w:val="0"/>
          <w:numId w:val="4"/>
        </w:numPr>
        <w:ind w:firstLine="360" w:firstLineChars="150"/>
        <w:jc w:val="both"/>
        <w:rPr>
          <w:rFonts w:ascii="Times New Roman" w:hAnsi="Times New Roman" w:cs="Times New Roman"/>
          <w:sz w:val="24"/>
          <w:szCs w:val="24"/>
          <w:lang w:val="uk-UA"/>
        </w:rPr>
      </w:pPr>
      <w:r>
        <w:rPr>
          <w:rFonts w:ascii="Times New Roman" w:hAnsi="Times New Roman" w:cs="Times New Roman"/>
          <w:sz w:val="24"/>
          <w:szCs w:val="24"/>
        </w:rPr>
        <w:t>6</w:t>
      </w:r>
      <w:r>
        <w:rPr>
          <w:rFonts w:ascii="Times New Roman" w:hAnsi="Times New Roman" w:cs="Times New Roman"/>
          <w:sz w:val="24"/>
          <w:szCs w:val="24"/>
          <w:lang w:val="uk-UA"/>
        </w:rPr>
        <w:t>. Визволення пасажирів із ліфтів (у разі аварійної зупинки ліфта) – терміново, але не більше ніж  протягом 30 хвилин з моменту подання заявки до диспетчерської служби);</w:t>
      </w:r>
    </w:p>
    <w:p>
      <w:pPr>
        <w:pStyle w:val="21"/>
        <w:numPr>
          <w:ilvl w:val="0"/>
          <w:numId w:val="4"/>
        </w:numPr>
        <w:ind w:firstLine="360" w:firstLineChars="150"/>
        <w:jc w:val="both"/>
        <w:rPr>
          <w:rFonts w:ascii="Times New Roman" w:hAnsi="Times New Roman" w:cs="Times New Roman"/>
          <w:sz w:val="24"/>
          <w:szCs w:val="24"/>
          <w:lang w:val="uk-UA"/>
        </w:rPr>
      </w:pPr>
      <w:r>
        <w:rPr>
          <w:rFonts w:ascii="Times New Roman" w:hAnsi="Times New Roman" w:cs="Times New Roman"/>
          <w:sz w:val="24"/>
          <w:szCs w:val="24"/>
        </w:rPr>
        <w:t>7</w:t>
      </w:r>
      <w:r>
        <w:rPr>
          <w:rFonts w:ascii="Times New Roman" w:hAnsi="Times New Roman" w:cs="Times New Roman"/>
          <w:sz w:val="24"/>
          <w:szCs w:val="24"/>
          <w:lang w:val="uk-UA"/>
        </w:rPr>
        <w:t>. Недопущення  простою ліфтів більше 1 доби з технічних причин;</w:t>
      </w:r>
    </w:p>
    <w:p>
      <w:pPr>
        <w:pStyle w:val="21"/>
        <w:numPr>
          <w:ilvl w:val="0"/>
          <w:numId w:val="4"/>
        </w:numPr>
        <w:ind w:firstLine="360" w:firstLineChars="150"/>
        <w:jc w:val="both"/>
        <w:rPr>
          <w:rFonts w:ascii="Times New Roman" w:hAnsi="Times New Roman" w:cs="Times New Roman"/>
          <w:sz w:val="24"/>
          <w:szCs w:val="24"/>
          <w:lang w:val="uk-UA"/>
        </w:rPr>
      </w:pPr>
      <w:r>
        <w:rPr>
          <w:rFonts w:ascii="Times New Roman" w:hAnsi="Times New Roman" w:cs="Times New Roman"/>
          <w:sz w:val="24"/>
          <w:szCs w:val="24"/>
          <w:lang w:val="en-US"/>
        </w:rPr>
        <w:t>8</w:t>
      </w:r>
      <w:r>
        <w:rPr>
          <w:rFonts w:ascii="Times New Roman" w:hAnsi="Times New Roman" w:cs="Times New Roman"/>
          <w:sz w:val="24"/>
          <w:szCs w:val="24"/>
          <w:lang w:val="uk-UA"/>
        </w:rPr>
        <w:t>. Проведення технічного огляду ліфтів;</w:t>
      </w:r>
    </w:p>
    <w:p>
      <w:pPr>
        <w:pStyle w:val="21"/>
        <w:numPr>
          <w:ilvl w:val="0"/>
          <w:numId w:val="4"/>
        </w:numPr>
        <w:ind w:firstLine="360" w:firstLineChars="150"/>
        <w:jc w:val="both"/>
        <w:rPr>
          <w:rFonts w:ascii="Times New Roman" w:hAnsi="Times New Roman" w:cs="Times New Roman"/>
          <w:sz w:val="24"/>
          <w:szCs w:val="24"/>
          <w:lang w:val="uk-UA"/>
        </w:rPr>
      </w:pPr>
      <w:r>
        <w:rPr>
          <w:rFonts w:ascii="Times New Roman" w:hAnsi="Times New Roman" w:cs="Times New Roman"/>
          <w:sz w:val="24"/>
          <w:szCs w:val="24"/>
        </w:rPr>
        <w:t>9</w:t>
      </w:r>
      <w:r>
        <w:rPr>
          <w:rFonts w:ascii="Times New Roman" w:hAnsi="Times New Roman" w:cs="Times New Roman"/>
          <w:sz w:val="24"/>
          <w:szCs w:val="24"/>
          <w:lang w:val="uk-UA"/>
        </w:rPr>
        <w:t>. Участь у перевірках, які проводяться контролюючими органами;</w:t>
      </w:r>
    </w:p>
    <w:p>
      <w:pPr>
        <w:pStyle w:val="21"/>
        <w:numPr>
          <w:ilvl w:val="0"/>
          <w:numId w:val="4"/>
        </w:numPr>
        <w:ind w:firstLine="360" w:firstLineChars="150"/>
        <w:jc w:val="both"/>
        <w:rPr>
          <w:rFonts w:ascii="Times New Roman" w:hAnsi="Times New Roman" w:cs="Times New Roman"/>
          <w:sz w:val="24"/>
          <w:szCs w:val="24"/>
          <w:lang w:val="uk-UA"/>
        </w:rPr>
      </w:pPr>
      <w:r>
        <w:rPr>
          <w:rFonts w:ascii="Times New Roman" w:hAnsi="Times New Roman" w:cs="Times New Roman"/>
          <w:sz w:val="24"/>
          <w:szCs w:val="24"/>
        </w:rPr>
        <w:t>10</w:t>
      </w:r>
      <w:r>
        <w:rPr>
          <w:rFonts w:ascii="Times New Roman" w:hAnsi="Times New Roman" w:cs="Times New Roman"/>
          <w:sz w:val="24"/>
          <w:szCs w:val="24"/>
          <w:lang w:val="uk-UA"/>
        </w:rPr>
        <w:t>. Своєчасна підготовка ліфтів до чергового випробування і проведення його в присутності представників Замовника, внесення записів в паспорти ліфтів і журнали після проведення випробування;</w:t>
      </w:r>
    </w:p>
    <w:p>
      <w:pPr>
        <w:pStyle w:val="21"/>
        <w:numPr>
          <w:ilvl w:val="0"/>
          <w:numId w:val="4"/>
        </w:numPr>
        <w:ind w:firstLine="360" w:firstLineChars="150"/>
        <w:jc w:val="both"/>
        <w:rPr>
          <w:rFonts w:ascii="Times New Roman" w:hAnsi="Times New Roman" w:cs="Times New Roman"/>
          <w:sz w:val="24"/>
          <w:szCs w:val="24"/>
          <w:lang w:val="uk-UA"/>
        </w:rPr>
      </w:pPr>
      <w:r>
        <w:rPr>
          <w:rFonts w:ascii="Times New Roman" w:hAnsi="Times New Roman" w:cs="Times New Roman"/>
          <w:sz w:val="24"/>
          <w:szCs w:val="24"/>
          <w:lang w:val="uk-UA"/>
        </w:rPr>
        <w:t>1</w:t>
      </w:r>
      <w:r>
        <w:rPr>
          <w:rFonts w:ascii="Times New Roman" w:hAnsi="Times New Roman" w:cs="Times New Roman"/>
          <w:sz w:val="24"/>
          <w:szCs w:val="24"/>
        </w:rPr>
        <w:t>1</w:t>
      </w:r>
      <w:r>
        <w:rPr>
          <w:rFonts w:ascii="Times New Roman" w:hAnsi="Times New Roman" w:cs="Times New Roman"/>
          <w:sz w:val="24"/>
          <w:szCs w:val="24"/>
          <w:lang w:val="uk-UA"/>
        </w:rPr>
        <w:t>. Оформлення актів технічного стану ліфтів для їх подальшої заміни (в разі виникнення потреби).</w:t>
      </w:r>
    </w:p>
    <w:p>
      <w:pPr>
        <w:pStyle w:val="19"/>
        <w:tabs>
          <w:tab w:val="left" w:pos="0"/>
        </w:tabs>
        <w:ind w:left="0"/>
        <w:jc w:val="both"/>
        <w:rPr>
          <w:rFonts w:cs="Microsoft Sans Serif"/>
          <w:color w:val="000000"/>
          <w:sz w:val="24"/>
          <w:szCs w:val="24"/>
          <w:lang w:val="uk-UA"/>
        </w:rPr>
      </w:pPr>
    </w:p>
    <w:p>
      <w:pPr>
        <w:suppressAutoHyphens/>
        <w:spacing w:after="0" w:line="240" w:lineRule="atLeast"/>
        <w:ind w:left="235" w:right="-1153" w:firstLine="605"/>
        <w:jc w:val="center"/>
        <w:rPr>
          <w:rFonts w:ascii="Times New Roman" w:hAnsi="Times New Roman" w:cs="Times New Roman"/>
          <w:lang w:val="uk-UA"/>
        </w:rPr>
      </w:pPr>
    </w:p>
    <w:tbl>
      <w:tblPr>
        <w:tblStyle w:val="7"/>
        <w:tblW w:w="9936" w:type="dxa"/>
        <w:tblInd w:w="0" w:type="dxa"/>
        <w:tblLayout w:type="fixed"/>
        <w:tblCellMar>
          <w:top w:w="0" w:type="dxa"/>
          <w:left w:w="108" w:type="dxa"/>
          <w:bottom w:w="0" w:type="dxa"/>
          <w:right w:w="108" w:type="dxa"/>
        </w:tblCellMar>
      </w:tblPr>
      <w:tblGrid>
        <w:gridCol w:w="4427"/>
        <w:gridCol w:w="360"/>
        <w:gridCol w:w="5149"/>
      </w:tblGrid>
      <w:tr>
        <w:tblPrEx>
          <w:tblLayout w:type="fixed"/>
          <w:tblCellMar>
            <w:top w:w="0" w:type="dxa"/>
            <w:left w:w="108" w:type="dxa"/>
            <w:bottom w:w="0" w:type="dxa"/>
            <w:right w:w="108" w:type="dxa"/>
          </w:tblCellMar>
        </w:tblPrEx>
        <w:tc>
          <w:tcPr>
            <w:tcW w:w="4427" w:type="dxa"/>
          </w:tcPr>
          <w:p>
            <w:pPr>
              <w:spacing w:after="0" w:line="240" w:lineRule="auto"/>
              <w:contextualSpacing/>
              <w:jc w:val="center"/>
              <w:rPr>
                <w:rFonts w:ascii="Times New Roman" w:hAnsi="Times New Roman" w:cs="Times New Roman"/>
                <w:b/>
                <w:bCs/>
                <w:sz w:val="24"/>
                <w:szCs w:val="24"/>
                <w:lang w:val="uk-UA"/>
              </w:rPr>
            </w:pPr>
            <w:r>
              <w:rPr>
                <w:rFonts w:ascii="Times New Roman" w:hAnsi="Times New Roman" w:cs="Times New Roman"/>
                <w:b/>
                <w:bCs/>
                <w:color w:val="000000"/>
                <w:sz w:val="24"/>
                <w:szCs w:val="24"/>
                <w:lang w:val="uk-UA"/>
              </w:rPr>
              <w:t>ВИКОНАВЕЦЬ:</w:t>
            </w:r>
          </w:p>
        </w:tc>
        <w:tc>
          <w:tcPr>
            <w:tcW w:w="360" w:type="dxa"/>
          </w:tcPr>
          <w:p>
            <w:pPr>
              <w:spacing w:after="0" w:line="240" w:lineRule="auto"/>
              <w:contextualSpacing/>
              <w:jc w:val="center"/>
              <w:rPr>
                <w:rFonts w:ascii="Times New Roman" w:hAnsi="Times New Roman" w:cs="Times New Roman"/>
                <w:b/>
                <w:bCs/>
                <w:sz w:val="24"/>
                <w:szCs w:val="24"/>
                <w:lang w:val="uk-UA"/>
              </w:rPr>
            </w:pPr>
          </w:p>
        </w:tc>
        <w:tc>
          <w:tcPr>
            <w:tcW w:w="5149" w:type="dxa"/>
          </w:tcPr>
          <w:p>
            <w:pPr>
              <w:spacing w:after="0" w:line="240" w:lineRule="auto"/>
              <w:contextualSpacing/>
              <w:jc w:val="center"/>
              <w:rPr>
                <w:rFonts w:ascii="Times New Roman" w:hAnsi="Times New Roman" w:cs="Times New Roman"/>
                <w:b/>
                <w:bCs/>
                <w:sz w:val="24"/>
                <w:szCs w:val="24"/>
                <w:lang w:val="uk-UA"/>
              </w:rPr>
            </w:pPr>
            <w:r>
              <w:rPr>
                <w:rFonts w:ascii="Times New Roman" w:hAnsi="Times New Roman" w:cs="Times New Roman"/>
                <w:b/>
                <w:bCs/>
                <w:color w:val="000000"/>
                <w:sz w:val="24"/>
                <w:szCs w:val="24"/>
                <w:lang w:val="uk-UA"/>
              </w:rPr>
              <w:t>ЗАМОВНИК:</w:t>
            </w:r>
          </w:p>
        </w:tc>
      </w:tr>
      <w:tr>
        <w:tblPrEx>
          <w:tblLayout w:type="fixed"/>
          <w:tblCellMar>
            <w:top w:w="0" w:type="dxa"/>
            <w:left w:w="108" w:type="dxa"/>
            <w:bottom w:w="0" w:type="dxa"/>
            <w:right w:w="108" w:type="dxa"/>
          </w:tblCellMar>
        </w:tblPrEx>
        <w:tc>
          <w:tcPr>
            <w:tcW w:w="4427" w:type="dxa"/>
          </w:tcPr>
          <w:p>
            <w:pPr>
              <w:spacing w:after="0" w:line="240" w:lineRule="auto"/>
              <w:contextualSpacing/>
              <w:jc w:val="both"/>
              <w:rPr>
                <w:rFonts w:ascii="Times New Roman" w:hAnsi="Times New Roman" w:cs="Times New Roman"/>
                <w:sz w:val="24"/>
                <w:szCs w:val="24"/>
              </w:rPr>
            </w:pPr>
          </w:p>
        </w:tc>
        <w:tc>
          <w:tcPr>
            <w:tcW w:w="360" w:type="dxa"/>
          </w:tcPr>
          <w:p>
            <w:pPr>
              <w:spacing w:after="0" w:line="240" w:lineRule="auto"/>
              <w:contextualSpacing/>
              <w:jc w:val="center"/>
              <w:rPr>
                <w:rFonts w:ascii="Times New Roman" w:hAnsi="Times New Roman" w:cs="Times New Roman"/>
                <w:b/>
                <w:bCs/>
                <w:sz w:val="24"/>
                <w:szCs w:val="24"/>
                <w:lang w:val="uk-UA"/>
              </w:rPr>
            </w:pPr>
          </w:p>
        </w:tc>
        <w:tc>
          <w:tcPr>
            <w:tcW w:w="5149" w:type="dxa"/>
          </w:tcPr>
          <w:p>
            <w:pPr>
              <w:spacing w:after="0" w:line="240" w:lineRule="atLeast"/>
              <w:ind w:left="243" w:right="139" w:hanging="14"/>
              <w:jc w:val="center"/>
              <w:rPr>
                <w:rFonts w:ascii="Times New Roman" w:hAnsi="Times New Roman" w:cs="Times New Roman"/>
                <w:sz w:val="24"/>
                <w:szCs w:val="24"/>
                <w:lang w:val="uk-UA"/>
              </w:rPr>
            </w:pPr>
            <w:r>
              <w:rPr>
                <w:rFonts w:ascii="Times New Roman" w:hAnsi="Times New Roman" w:cs="Times New Roman"/>
                <w:b/>
                <w:bCs/>
                <w:color w:val="000000"/>
                <w:sz w:val="24"/>
                <w:szCs w:val="24"/>
                <w:lang w:val="uk-UA"/>
              </w:rPr>
              <w:t>Головне управління ДПС</w:t>
            </w:r>
          </w:p>
          <w:p>
            <w:pPr>
              <w:keepNext/>
              <w:keepLines/>
              <w:widowControl w:val="0"/>
              <w:tabs>
                <w:tab w:val="left" w:pos="231"/>
                <w:tab w:val="left" w:leader="underscore" w:pos="7292"/>
              </w:tabs>
              <w:spacing w:after="0" w:line="240" w:lineRule="atLeast"/>
              <w:ind w:left="243" w:right="139" w:hanging="14"/>
              <w:jc w:val="center"/>
              <w:rPr>
                <w:rFonts w:ascii="Times New Roman" w:hAnsi="Times New Roman" w:cs="Times New Roman"/>
                <w:color w:val="000000"/>
                <w:sz w:val="24"/>
                <w:szCs w:val="24"/>
                <w:lang w:val="uk-UA"/>
              </w:rPr>
            </w:pPr>
            <w:r>
              <w:rPr>
                <w:rFonts w:ascii="Times New Roman" w:hAnsi="Times New Roman" w:cs="Times New Roman"/>
                <w:b/>
                <w:bCs/>
                <w:color w:val="000000"/>
                <w:sz w:val="24"/>
                <w:szCs w:val="24"/>
                <w:lang w:val="uk-UA"/>
              </w:rPr>
              <w:t>у Вінницькій області</w:t>
            </w:r>
          </w:p>
          <w:p>
            <w:pPr>
              <w:tabs>
                <w:tab w:val="left" w:pos="5023"/>
              </w:tabs>
              <w:spacing w:after="0" w:line="240" w:lineRule="atLeast"/>
              <w:ind w:left="243" w:right="139" w:hanging="14"/>
              <w:jc w:val="both"/>
              <w:rPr>
                <w:rFonts w:ascii="Times New Roman" w:hAnsi="Times New Roman" w:cs="Times New Roman"/>
                <w:color w:val="000000"/>
                <w:sz w:val="24"/>
                <w:szCs w:val="24"/>
                <w:lang w:val="uk-UA"/>
              </w:rPr>
            </w:pPr>
          </w:p>
          <w:p>
            <w:pPr>
              <w:tabs>
                <w:tab w:val="left" w:pos="5023"/>
              </w:tabs>
              <w:spacing w:after="0" w:line="240" w:lineRule="atLeast"/>
              <w:ind w:left="243" w:right="139" w:hanging="14"/>
              <w:jc w:val="both"/>
              <w:rPr>
                <w:rFonts w:ascii="Times New Roman" w:hAnsi="Times New Roman" w:cs="Times New Roman"/>
                <w:color w:val="000000"/>
                <w:sz w:val="24"/>
                <w:szCs w:val="24"/>
                <w:lang w:val="uk-UA"/>
              </w:rPr>
            </w:pPr>
          </w:p>
          <w:p>
            <w:pPr>
              <w:tabs>
                <w:tab w:val="left" w:pos="5023"/>
              </w:tabs>
              <w:spacing w:after="0" w:line="240" w:lineRule="atLeast"/>
              <w:ind w:right="139"/>
              <w:jc w:val="both"/>
              <w:rPr>
                <w:rFonts w:ascii="Times New Roman" w:hAnsi="Times New Roman" w:cs="Times New Roman"/>
                <w:b/>
                <w:bCs/>
                <w:color w:val="00000A"/>
                <w:sz w:val="24"/>
                <w:szCs w:val="24"/>
                <w:lang w:val="uk-UA"/>
              </w:rPr>
            </w:pPr>
            <w:r>
              <w:rPr>
                <w:rFonts w:ascii="Times New Roman" w:hAnsi="Times New Roman" w:cs="Times New Roman"/>
                <w:b/>
                <w:bCs/>
                <w:color w:val="000000"/>
                <w:sz w:val="24"/>
                <w:szCs w:val="24"/>
                <w:lang w:val="uk-UA"/>
              </w:rPr>
              <w:t>В. о. начальника</w:t>
            </w:r>
          </w:p>
          <w:p>
            <w:pPr>
              <w:tabs>
                <w:tab w:val="left" w:pos="5023"/>
              </w:tabs>
              <w:spacing w:after="0" w:line="240" w:lineRule="atLeast"/>
              <w:ind w:left="243" w:right="139" w:hanging="14"/>
              <w:jc w:val="both"/>
              <w:rPr>
                <w:rFonts w:ascii="Times New Roman" w:hAnsi="Times New Roman" w:cs="Times New Roman"/>
                <w:color w:val="00000A"/>
                <w:sz w:val="24"/>
                <w:szCs w:val="24"/>
                <w:lang w:val="uk-UA"/>
              </w:rPr>
            </w:pPr>
            <w:r>
              <w:rPr>
                <w:rFonts w:ascii="Times New Roman" w:hAnsi="Times New Roman" w:cs="Times New Roman"/>
                <w:color w:val="000000"/>
                <w:sz w:val="24"/>
                <w:szCs w:val="24"/>
                <w:lang w:val="uk-UA"/>
              </w:rPr>
              <w:t xml:space="preserve">                    </w:t>
            </w:r>
          </w:p>
          <w:p>
            <w:pPr>
              <w:spacing w:after="0" w:line="240" w:lineRule="atLeast"/>
              <w:ind w:right="139"/>
              <w:rPr>
                <w:rFonts w:ascii="Times New Roman" w:hAnsi="Times New Roman" w:cs="Times New Roman"/>
                <w:b/>
                <w:bCs/>
                <w:color w:val="00000A"/>
                <w:sz w:val="24"/>
                <w:szCs w:val="24"/>
                <w:lang w:val="uk-UA"/>
              </w:rPr>
            </w:pPr>
            <w:r>
              <w:rPr>
                <w:rFonts w:ascii="Times New Roman" w:hAnsi="Times New Roman" w:cs="Times New Roman"/>
                <w:color w:val="000000"/>
                <w:sz w:val="24"/>
                <w:szCs w:val="24"/>
                <w:lang w:val="uk-UA"/>
              </w:rPr>
              <w:t xml:space="preserve"> ____________________ </w:t>
            </w:r>
            <w:r>
              <w:rPr>
                <w:rFonts w:ascii="Times New Roman" w:hAnsi="Times New Roman" w:cs="Times New Roman"/>
                <w:b/>
                <w:bCs/>
                <w:color w:val="000000"/>
                <w:sz w:val="24"/>
                <w:szCs w:val="24"/>
                <w:lang w:val="uk-UA"/>
              </w:rPr>
              <w:t>Оксана ДОМЕРАТ</w:t>
            </w:r>
          </w:p>
          <w:p>
            <w:pPr>
              <w:spacing w:after="0" w:line="240" w:lineRule="auto"/>
              <w:contextualSpacing/>
              <w:rPr>
                <w:rFonts w:ascii="Times New Roman" w:hAnsi="Times New Roman" w:cs="Times New Roman"/>
                <w:sz w:val="24"/>
                <w:szCs w:val="24"/>
                <w:lang w:val="uk-UA"/>
              </w:rPr>
            </w:pP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М.П.</w:t>
            </w:r>
          </w:p>
        </w:tc>
      </w:tr>
    </w:tbl>
    <w:p>
      <w:pPr>
        <w:spacing w:after="0"/>
        <w:rPr>
          <w:rFonts w:ascii="Times New Roman" w:hAnsi="Times New Roman" w:cs="Times New Roman"/>
        </w:rPr>
      </w:pPr>
    </w:p>
    <w:sectPr>
      <w:pgSz w:w="11906" w:h="16838"/>
      <w:pgMar w:top="600" w:right="1800" w:bottom="771" w:left="960" w:header="0" w:footer="0" w:gutter="0"/>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Liberation Sans">
    <w:altName w:val="Arial"/>
    <w:panose1 w:val="00000000000000000000"/>
    <w:charset w:val="CC"/>
    <w:family w:val="swiss"/>
    <w:pitch w:val="default"/>
    <w:sig w:usb0="00000000" w:usb1="00000000" w:usb2="00000000" w:usb3="00000000" w:csb0="00000004" w:csb1="00000000"/>
  </w:font>
  <w:font w:name="Microsoft YaHei">
    <w:panose1 w:val="020B0503020204020204"/>
    <w:charset w:val="86"/>
    <w:family w:val="auto"/>
    <w:pitch w:val="default"/>
    <w:sig w:usb0="80000287" w:usb1="2ACF3C50" w:usb2="00000016" w:usb3="00000000" w:csb0="0004001F" w:csb1="00000000"/>
  </w:font>
  <w:font w:name="Microsoft Sans Serif">
    <w:panose1 w:val="020B0604020202020204"/>
    <w:charset w:val="CC"/>
    <w:family w:val="swiss"/>
    <w:pitch w:val="default"/>
    <w:sig w:usb0="E5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21592C"/>
    <w:multiLevelType w:val="singleLevel"/>
    <w:tmpl w:val="C721592C"/>
    <w:lvl w:ilvl="0" w:tentative="0">
      <w:start w:val="1"/>
      <w:numFmt w:val="decimal"/>
      <w:suff w:val="space"/>
      <w:lvlText w:val="%1."/>
      <w:lvlJc w:val="left"/>
    </w:lvl>
  </w:abstractNum>
  <w:abstractNum w:abstractNumId="1">
    <w:nsid w:val="00000001"/>
    <w:multiLevelType w:val="multilevel"/>
    <w:tmpl w:val="00000001"/>
    <w:lvl w:ilvl="0" w:tentative="0">
      <w:start w:val="1"/>
      <w:numFmt w:val="none"/>
      <w:suff w:val="nothing"/>
      <w:lvlText w:val=""/>
      <w:lvlJc w:val="left"/>
      <w:pPr>
        <w:tabs>
          <w:tab w:val="left" w:pos="0"/>
        </w:tabs>
      </w:pPr>
    </w:lvl>
    <w:lvl w:ilvl="1" w:tentative="0">
      <w:start w:val="1"/>
      <w:numFmt w:val="none"/>
      <w:suff w:val="nothing"/>
      <w:lvlText w:val=""/>
      <w:lvlJc w:val="left"/>
      <w:pPr>
        <w:tabs>
          <w:tab w:val="left" w:pos="0"/>
        </w:tabs>
      </w:pPr>
    </w:lvl>
    <w:lvl w:ilvl="2" w:tentative="0">
      <w:start w:val="1"/>
      <w:numFmt w:val="none"/>
      <w:suff w:val="nothing"/>
      <w:lvlText w:val=""/>
      <w:lvlJc w:val="left"/>
      <w:pPr>
        <w:tabs>
          <w:tab w:val="left" w:pos="0"/>
        </w:tabs>
      </w:pPr>
    </w:lvl>
    <w:lvl w:ilvl="3" w:tentative="0">
      <w:start w:val="1"/>
      <w:numFmt w:val="none"/>
      <w:suff w:val="nothing"/>
      <w:lvlText w:val=""/>
      <w:lvlJc w:val="left"/>
      <w:pPr>
        <w:tabs>
          <w:tab w:val="left" w:pos="0"/>
        </w:tabs>
      </w:pPr>
    </w:lvl>
    <w:lvl w:ilvl="4" w:tentative="0">
      <w:start w:val="1"/>
      <w:numFmt w:val="none"/>
      <w:suff w:val="nothing"/>
      <w:lvlText w:val=""/>
      <w:lvlJc w:val="left"/>
      <w:pPr>
        <w:tabs>
          <w:tab w:val="left" w:pos="0"/>
        </w:tabs>
      </w:pPr>
    </w:lvl>
    <w:lvl w:ilvl="5" w:tentative="0">
      <w:start w:val="1"/>
      <w:numFmt w:val="none"/>
      <w:suff w:val="nothing"/>
      <w:lvlText w:val=""/>
      <w:lvlJc w:val="left"/>
      <w:pPr>
        <w:tabs>
          <w:tab w:val="left" w:pos="0"/>
        </w:tabs>
      </w:pPr>
    </w:lvl>
    <w:lvl w:ilvl="6" w:tentative="0">
      <w:start w:val="1"/>
      <w:numFmt w:val="none"/>
      <w:suff w:val="nothing"/>
      <w:lvlText w:val=""/>
      <w:lvlJc w:val="left"/>
      <w:pPr>
        <w:tabs>
          <w:tab w:val="left" w:pos="0"/>
        </w:tabs>
      </w:pPr>
    </w:lvl>
    <w:lvl w:ilvl="7" w:tentative="0">
      <w:start w:val="1"/>
      <w:numFmt w:val="none"/>
      <w:suff w:val="nothing"/>
      <w:lvlText w:val=""/>
      <w:lvlJc w:val="left"/>
      <w:pPr>
        <w:tabs>
          <w:tab w:val="left" w:pos="0"/>
        </w:tabs>
      </w:pPr>
    </w:lvl>
    <w:lvl w:ilvl="8" w:tentative="0">
      <w:start w:val="1"/>
      <w:numFmt w:val="none"/>
      <w:suff w:val="nothing"/>
      <w:lvlText w:val=""/>
      <w:lvlJc w:val="left"/>
      <w:pPr>
        <w:tabs>
          <w:tab w:val="left" w:pos="0"/>
        </w:tabs>
      </w:pPr>
    </w:lvl>
  </w:abstractNum>
  <w:abstractNum w:abstractNumId="2">
    <w:nsid w:val="00000002"/>
    <w:multiLevelType w:val="singleLevel"/>
    <w:tmpl w:val="00000002"/>
    <w:lvl w:ilvl="0" w:tentative="0">
      <w:start w:val="1"/>
      <w:numFmt w:val="decimal"/>
      <w:suff w:val="space"/>
      <w:lvlText w:val="%1."/>
      <w:lvlJc w:val="left"/>
      <w:pPr>
        <w:tabs>
          <w:tab w:val="left" w:pos="0"/>
        </w:tabs>
      </w:pPr>
    </w:lvl>
  </w:abstractNum>
  <w:abstractNum w:abstractNumId="3">
    <w:nsid w:val="0053208E"/>
    <w:multiLevelType w:val="multilevel"/>
    <w:tmpl w:val="0053208E"/>
    <w:lvl w:ilvl="0" w:tentative="0">
      <w:start w:val="1"/>
      <w:numFmt w:val="decimal"/>
      <w:suff w:val="space"/>
      <w:lvlText w:val="%1."/>
      <w:lvlJc w:val="left"/>
    </w:lvl>
    <w:lvl w:ilvl="1" w:tentative="0">
      <w:start w:val="1"/>
      <w:numFmt w:val="decimal"/>
      <w:lvlText w:val="%2."/>
      <w:lvlJc w:val="left"/>
      <w:pPr>
        <w:tabs>
          <w:tab w:val="left" w:pos="1080"/>
        </w:tabs>
        <w:ind w:left="1080" w:hanging="360"/>
      </w:pPr>
    </w:lvl>
    <w:lvl w:ilvl="2" w:tentative="0">
      <w:start w:val="1"/>
      <w:numFmt w:val="decimal"/>
      <w:pStyle w:val="2"/>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708"/>
  <w:characterSpacingControl w:val="doNotCompress"/>
  <w:doNotValidateAgainstSchema/>
  <w:doNotDemarcateInvalidXml/>
  <w:compa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7A7"/>
    <w:rsid w:val="001A6F1E"/>
    <w:rsid w:val="001D2B41"/>
    <w:rsid w:val="001D70E1"/>
    <w:rsid w:val="004F07A7"/>
    <w:rsid w:val="005568AE"/>
    <w:rsid w:val="005947CB"/>
    <w:rsid w:val="005A0BE4"/>
    <w:rsid w:val="00750F63"/>
    <w:rsid w:val="00780EE5"/>
    <w:rsid w:val="00832F13"/>
    <w:rsid w:val="009C440D"/>
    <w:rsid w:val="00A228D1"/>
    <w:rsid w:val="00B0458C"/>
    <w:rsid w:val="00BC0C79"/>
    <w:rsid w:val="00C46C09"/>
    <w:rsid w:val="00C67A31"/>
    <w:rsid w:val="00DE7988"/>
    <w:rsid w:val="00EC1987"/>
    <w:rsid w:val="00F62F03"/>
    <w:rsid w:val="05177331"/>
    <w:rsid w:val="07CB442D"/>
    <w:rsid w:val="0F31770F"/>
    <w:rsid w:val="1E1C3972"/>
    <w:rsid w:val="20435288"/>
    <w:rsid w:val="21EC7B60"/>
    <w:rsid w:val="2A3D07FA"/>
    <w:rsid w:val="32165DEC"/>
    <w:rsid w:val="3C837A73"/>
    <w:rsid w:val="43345039"/>
    <w:rsid w:val="4399551F"/>
    <w:rsid w:val="46DC33CD"/>
    <w:rsid w:val="4A2343C8"/>
    <w:rsid w:val="659D3C5E"/>
    <w:rsid w:val="6C5D246B"/>
    <w:rsid w:val="76E74D58"/>
    <w:rsid w:val="7B34376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160" w:line="259" w:lineRule="auto"/>
    </w:pPr>
    <w:rPr>
      <w:rFonts w:ascii="Calibri" w:hAnsi="Calibri" w:eastAsia="SimSun" w:cs="Calibri"/>
      <w:sz w:val="21"/>
      <w:szCs w:val="21"/>
      <w:lang w:val="ru-RU" w:eastAsia="ru-RU" w:bidi="ar-SA"/>
    </w:rPr>
  </w:style>
  <w:style w:type="paragraph" w:styleId="2">
    <w:name w:val="heading 3"/>
    <w:basedOn w:val="1"/>
    <w:next w:val="3"/>
    <w:link w:val="8"/>
    <w:qFormat/>
    <w:uiPriority w:val="99"/>
    <w:pPr>
      <w:keepNext/>
      <w:keepLines/>
      <w:widowControl w:val="0"/>
      <w:numPr>
        <w:ilvl w:val="2"/>
        <w:numId w:val="1"/>
      </w:numPr>
      <w:tabs>
        <w:tab w:val="left" w:pos="0"/>
      </w:tabs>
      <w:suppressAutoHyphens/>
      <w:spacing w:before="320" w:after="80" w:line="240" w:lineRule="auto"/>
      <w:contextualSpacing/>
      <w:outlineLvl w:val="2"/>
    </w:pPr>
    <w:rPr>
      <w:rFonts w:ascii="Arial" w:hAnsi="Arial" w:eastAsia="Times New Roman" w:cs="Arial"/>
      <w:color w:val="434343"/>
      <w:kern w:val="2"/>
      <w:sz w:val="28"/>
      <w:szCs w:val="28"/>
      <w:lang w:eastAsia="zh-CN"/>
    </w:rPr>
  </w:style>
  <w:style w:type="character" w:default="1" w:styleId="6">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9"/>
    <w:qFormat/>
    <w:uiPriority w:val="99"/>
    <w:pPr>
      <w:spacing w:after="140" w:line="276" w:lineRule="auto"/>
    </w:pPr>
  </w:style>
  <w:style w:type="paragraph" w:styleId="4">
    <w:name w:val="caption"/>
    <w:basedOn w:val="1"/>
    <w:next w:val="1"/>
    <w:qFormat/>
    <w:uiPriority w:val="99"/>
    <w:pPr>
      <w:suppressLineNumbers/>
      <w:spacing w:before="120" w:after="120"/>
    </w:pPr>
    <w:rPr>
      <w:i/>
      <w:iCs/>
      <w:sz w:val="24"/>
      <w:szCs w:val="24"/>
    </w:rPr>
  </w:style>
  <w:style w:type="paragraph" w:styleId="5">
    <w:name w:val="List"/>
    <w:basedOn w:val="3"/>
    <w:qFormat/>
    <w:uiPriority w:val="99"/>
  </w:style>
  <w:style w:type="character" w:customStyle="1" w:styleId="8">
    <w:name w:val="Heading 3 Char"/>
    <w:basedOn w:val="6"/>
    <w:link w:val="2"/>
    <w:semiHidden/>
    <w:qFormat/>
    <w:uiPriority w:val="99"/>
    <w:rPr>
      <w:rFonts w:ascii="Cambria" w:hAnsi="Cambria" w:eastAsia="SimSun" w:cs="Cambria"/>
      <w:b/>
      <w:bCs/>
      <w:sz w:val="26"/>
      <w:szCs w:val="26"/>
    </w:rPr>
  </w:style>
  <w:style w:type="character" w:customStyle="1" w:styleId="9">
    <w:name w:val="Body Text Char"/>
    <w:basedOn w:val="6"/>
    <w:link w:val="3"/>
    <w:semiHidden/>
    <w:qFormat/>
    <w:uiPriority w:val="99"/>
    <w:rPr>
      <w:rFonts w:ascii="Calibri" w:hAnsi="Calibri" w:eastAsia="SimSun" w:cs="Calibri"/>
      <w:sz w:val="21"/>
      <w:szCs w:val="21"/>
    </w:rPr>
  </w:style>
  <w:style w:type="character" w:customStyle="1" w:styleId="10">
    <w:name w:val="Интернет-ссылка"/>
    <w:basedOn w:val="6"/>
    <w:qFormat/>
    <w:uiPriority w:val="99"/>
    <w:rPr>
      <w:color w:val="0000FF"/>
      <w:u w:val="single"/>
    </w:rPr>
  </w:style>
  <w:style w:type="character" w:customStyle="1" w:styleId="11">
    <w:name w:val="Body text (2)3"/>
    <w:basedOn w:val="6"/>
    <w:qFormat/>
    <w:uiPriority w:val="99"/>
    <w:rPr>
      <w:rFonts w:ascii="Times New Roman" w:hAnsi="Times New Roman" w:cs="Times New Roman"/>
      <w:sz w:val="20"/>
      <w:szCs w:val="20"/>
      <w:lang w:eastAsia="ru-RU"/>
    </w:rPr>
  </w:style>
  <w:style w:type="character" w:customStyle="1" w:styleId="12">
    <w:name w:val="ListLabel 1"/>
    <w:qFormat/>
    <w:uiPriority w:val="99"/>
    <w:rPr>
      <w:rFonts w:ascii="Times New Roman" w:hAnsi="Times New Roman" w:cs="Times New Roman"/>
      <w:sz w:val="24"/>
      <w:szCs w:val="24"/>
      <w:lang w:val="en-US"/>
    </w:rPr>
  </w:style>
  <w:style w:type="character" w:customStyle="1" w:styleId="13">
    <w:name w:val="ListLabel 2"/>
    <w:qFormat/>
    <w:uiPriority w:val="99"/>
    <w:rPr>
      <w:rFonts w:ascii="Times New Roman" w:hAnsi="Times New Roman" w:cs="Times New Roman"/>
      <w:sz w:val="24"/>
      <w:szCs w:val="24"/>
      <w:lang w:val="uk-UA"/>
    </w:rPr>
  </w:style>
  <w:style w:type="paragraph" w:customStyle="1" w:styleId="14">
    <w:name w:val="Заголовок"/>
    <w:basedOn w:val="1"/>
    <w:next w:val="3"/>
    <w:qFormat/>
    <w:uiPriority w:val="99"/>
    <w:pPr>
      <w:keepNext/>
      <w:spacing w:before="240" w:after="120"/>
    </w:pPr>
    <w:rPr>
      <w:rFonts w:ascii="Liberation Sans" w:hAnsi="Liberation Sans" w:eastAsia="Microsoft YaHei" w:cs="Liberation Sans"/>
      <w:sz w:val="28"/>
      <w:szCs w:val="28"/>
    </w:rPr>
  </w:style>
  <w:style w:type="paragraph" w:customStyle="1" w:styleId="15">
    <w:name w:val="Указатель1"/>
    <w:basedOn w:val="1"/>
    <w:qFormat/>
    <w:uiPriority w:val="99"/>
    <w:pPr>
      <w:suppressLineNumbers/>
    </w:pPr>
  </w:style>
  <w:style w:type="paragraph" w:customStyle="1" w:styleId="16">
    <w:name w:val="Заголовок №2"/>
    <w:basedOn w:val="1"/>
    <w:qFormat/>
    <w:uiPriority w:val="99"/>
    <w:pPr>
      <w:widowControl w:val="0"/>
      <w:spacing w:after="0" w:line="264" w:lineRule="auto"/>
      <w:jc w:val="center"/>
    </w:pPr>
    <w:rPr>
      <w:rFonts w:ascii="Times New Roman" w:hAnsi="Times New Roman" w:eastAsia="Times New Roman" w:cs="Times New Roman"/>
      <w:b/>
      <w:bCs/>
      <w:sz w:val="20"/>
      <w:szCs w:val="20"/>
    </w:rPr>
  </w:style>
  <w:style w:type="paragraph" w:customStyle="1" w:styleId="17">
    <w:name w:val="Основной текст1"/>
    <w:basedOn w:val="1"/>
    <w:qFormat/>
    <w:uiPriority w:val="99"/>
    <w:pPr>
      <w:widowControl w:val="0"/>
      <w:spacing w:after="0" w:line="264" w:lineRule="auto"/>
    </w:pPr>
    <w:rPr>
      <w:rFonts w:ascii="Times New Roman" w:hAnsi="Times New Roman" w:eastAsia="Times New Roman" w:cs="Times New Roman"/>
      <w:color w:val="000000"/>
      <w:sz w:val="20"/>
      <w:szCs w:val="20"/>
      <w:lang w:val="uk-UA"/>
    </w:rPr>
  </w:style>
  <w:style w:type="paragraph" w:customStyle="1" w:styleId="18">
    <w:name w:val="Другое"/>
    <w:basedOn w:val="1"/>
    <w:qFormat/>
    <w:uiPriority w:val="99"/>
    <w:pPr>
      <w:widowControl w:val="0"/>
      <w:suppressAutoHyphens/>
      <w:spacing w:after="0" w:line="264" w:lineRule="auto"/>
    </w:pPr>
    <w:rPr>
      <w:rFonts w:ascii="Times New Roman" w:hAnsi="Times New Roman" w:eastAsia="Times New Roman" w:cs="Times New Roman"/>
      <w:color w:val="00000A"/>
      <w:sz w:val="20"/>
      <w:szCs w:val="20"/>
      <w:lang w:eastAsia="zh-CN"/>
    </w:rPr>
  </w:style>
  <w:style w:type="paragraph" w:customStyle="1" w:styleId="19">
    <w:name w:val="Подпись к таблице"/>
    <w:basedOn w:val="1"/>
    <w:qFormat/>
    <w:uiPriority w:val="99"/>
    <w:pPr>
      <w:widowControl w:val="0"/>
      <w:suppressAutoHyphens/>
      <w:spacing w:after="0" w:line="240" w:lineRule="auto"/>
      <w:ind w:left="180"/>
    </w:pPr>
    <w:rPr>
      <w:rFonts w:ascii="Times New Roman" w:hAnsi="Times New Roman" w:eastAsia="Times New Roman" w:cs="Times New Roman"/>
      <w:color w:val="00000A"/>
      <w:sz w:val="20"/>
      <w:szCs w:val="20"/>
      <w:lang w:eastAsia="zh-CN"/>
    </w:rPr>
  </w:style>
  <w:style w:type="character" w:customStyle="1" w:styleId="20">
    <w:name w:val="Основной текст + Полужирный"/>
    <w:qFormat/>
    <w:uiPriority w:val="99"/>
    <w:rPr>
      <w:b/>
      <w:bCs/>
      <w:spacing w:val="1"/>
      <w:sz w:val="25"/>
      <w:szCs w:val="25"/>
      <w:u w:val="single"/>
    </w:rPr>
  </w:style>
  <w:style w:type="paragraph" w:customStyle="1" w:styleId="21">
    <w:name w:val="LO-normal"/>
    <w:qFormat/>
    <w:uiPriority w:val="99"/>
    <w:pPr>
      <w:suppressAutoHyphens/>
      <w:spacing w:line="276" w:lineRule="auto"/>
    </w:pPr>
    <w:rPr>
      <w:rFonts w:ascii="Arial" w:hAnsi="Arial" w:eastAsia="Times New Roman" w:cs="Arial"/>
      <w:color w:val="000000"/>
      <w:kern w:val="2"/>
      <w:sz w:val="22"/>
      <w:szCs w:val="22"/>
      <w:lang w:val="ru-RU"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11</Pages>
  <Words>4503</Words>
  <Characters>25671</Characters>
  <Lines>0</Lines>
  <Paragraphs>0</Paragraphs>
  <TotalTime>6</TotalTime>
  <ScaleCrop>false</ScaleCrop>
  <LinksUpToDate>false</LinksUpToDate>
  <CharactersWithSpaces>0</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2023-01-10T11:19:00Z</dcterms:created>
  <dc:creator>d1201-vernyhora</dc:creator>
  <cp:lastModifiedBy>user</cp:lastModifiedBy>
  <cp:lastPrinted>2023-01-30T09:22:00Z</cp:lastPrinted>
  <dcterms:modified xsi:type="dcterms:W3CDTF">2024-01-26T09:03:38Z</dcterms:modified>
  <dc:title>ДОГОВІР</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1049-10.2.0.7587</vt:lpwstr>
  </property>
  <property fmtid="{D5CDD505-2E9C-101B-9397-08002B2CF9AE}" pid="4" name="LinksUpToDate">
    <vt:bool>false</vt:bool>
  </property>
  <property fmtid="{D5CDD505-2E9C-101B-9397-08002B2CF9AE}" pid="5" name="ScaleCrop">
    <vt:bool>false</vt:bool>
  </property>
</Properties>
</file>