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hanging="2"/>
        <w:jc w:val="right"/>
        <w:rPr/>
      </w:pPr>
      <w:r>
        <w:rPr>
          <w:rFonts w:eastAsia="Times New Roman" w:cs="Times New Roman" w:ascii="Times New Roman" w:hAnsi="Times New Roman"/>
          <w:b/>
          <w:color w:val="000000"/>
          <w:sz w:val="24"/>
          <w:szCs w:val="24"/>
        </w:rPr>
        <w:t>ДОДАТОК  2</w:t>
      </w:r>
    </w:p>
    <w:p>
      <w:pPr>
        <w:pStyle w:val="Normal"/>
        <w:spacing w:lineRule="auto" w:line="240" w:before="0" w:after="0"/>
        <w:ind w:left="0" w:hanging="2"/>
        <w:jc w:val="right"/>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до тендерної документації</w:t>
      </w:r>
      <w:r>
        <w:rPr>
          <w:rFonts w:eastAsia="Times New Roman" w:cs="Times New Roman" w:ascii="Times New Roman" w:hAnsi="Times New Roman"/>
          <w:color w:val="000000"/>
          <w:sz w:val="24"/>
          <w:szCs w:val="24"/>
        </w:rPr>
        <w:t> </w:t>
      </w:r>
    </w:p>
    <w:p>
      <w:pPr>
        <w:pStyle w:val="Normal"/>
        <w:spacing w:lineRule="auto" w:line="240" w:before="240" w:after="0"/>
        <w:ind w:left="0" w:hanging="2"/>
        <w:jc w:val="center"/>
        <w:rPr>
          <w:rFonts w:ascii="Times New Roman" w:hAnsi="Times New Roman" w:eastAsia="Times New Roman" w:cs="Times New Roman"/>
          <w:color w:val="000000"/>
          <w:sz w:val="24"/>
          <w:szCs w:val="24"/>
        </w:rPr>
      </w:pPr>
      <w:r>
        <w:rPr>
          <w:rFonts w:eastAsia="Times New Roman" w:cs="Times New Roman" w:ascii="Times New Roman" w:hAnsi="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Pr>
          <w:rFonts w:eastAsia="Times New Roman" w:cs="Times New Roman" w:ascii="Times New Roman" w:hAnsi="Times New Roman"/>
          <w:b/>
          <w:i/>
          <w:sz w:val="24"/>
          <w:szCs w:val="24"/>
          <w:highlight w:val="white"/>
        </w:rPr>
        <w:t>–</w:t>
      </w:r>
      <w:r>
        <w:rPr>
          <w:rFonts w:eastAsia="Times New Roman" w:cs="Times New Roman" w:ascii="Times New Roman" w:hAnsi="Times New Roman"/>
          <w:b/>
          <w:i/>
          <w:color w:val="000000"/>
          <w:sz w:val="24"/>
          <w:szCs w:val="24"/>
          <w:highlight w:val="white"/>
        </w:rPr>
        <w:t xml:space="preserve"> технічні вимоги до предмета закупівлі</w:t>
      </w:r>
    </w:p>
    <w:p>
      <w:pPr>
        <w:pStyle w:val="Normal"/>
        <w:spacing w:lineRule="auto" w:line="240" w:before="240" w:after="0"/>
        <w:ind w:left="0" w:hanging="2"/>
        <w:jc w:val="center"/>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b/>
          <w:i/>
          <w:color w:val="000000"/>
          <w:sz w:val="24"/>
          <w:szCs w:val="24"/>
          <w:highlight w:val="white"/>
        </w:rPr>
        <w:t>ТЕХНІЧНА СПЕЦИФІКАЦІЯ</w:t>
      </w:r>
    </w:p>
    <w:p>
      <w:pPr>
        <w:pStyle w:val="Normal"/>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Замовник самостійно визначає необхідні технічні характеристики предмета закупівлі </w:t>
      </w:r>
      <w:r>
        <w:rPr>
          <w:rFonts w:eastAsia="Times New Roman" w:cs="Times New Roman" w:ascii="Times New Roman" w:hAnsi="Times New Roman"/>
          <w:sz w:val="24"/>
          <w:szCs w:val="24"/>
        </w:rPr>
        <w:t>з огляду на</w:t>
      </w:r>
      <w:r>
        <w:rPr>
          <w:rFonts w:eastAsia="Times New Roman" w:cs="Times New Roman" w:ascii="Times New Roman" w:hAnsi="Times New Roman"/>
          <w:color w:val="000000"/>
          <w:sz w:val="24"/>
          <w:szCs w:val="24"/>
        </w:rPr>
        <w:t xml:space="preserve"> специфік</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предмета закупівлі, керуючись принципами здійснення закупівель та з дотриманням законодавства.</w:t>
      </w:r>
    </w:p>
    <w:p>
      <w:pPr>
        <w:pStyle w:val="Normal"/>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Фактом подання тендерної пропозиції учасник підтверджує відповідність своєї пропозиції</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eastAsia="Times New Roman" w:cs="Times New Roman" w:ascii="Times New Roman" w:hAnsi="Times New Roman"/>
          <w:b/>
          <w:sz w:val="24"/>
          <w:szCs w:val="24"/>
        </w:rPr>
        <w:t>а</w:t>
      </w:r>
      <w:r>
        <w:rPr>
          <w:rFonts w:eastAsia="Times New Roman" w:cs="Times New Roman" w:ascii="Times New Roman" w:hAnsi="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Pr>
          <w:rFonts w:eastAsia="Times New Roman" w:cs="Times New Roman" w:ascii="Times New Roman" w:hAnsi="Times New Roman"/>
          <w:b/>
          <w:sz w:val="24"/>
          <w:szCs w:val="24"/>
        </w:rPr>
        <w:t xml:space="preserve"> в</w:t>
      </w:r>
      <w:r>
        <w:rPr>
          <w:rFonts w:eastAsia="Times New Roman" w:cs="Times New Roman" w:ascii="Times New Roman" w:hAnsi="Times New Roman"/>
          <w:b/>
          <w:color w:val="000000"/>
          <w:sz w:val="24"/>
          <w:szCs w:val="24"/>
        </w:rPr>
        <w:t>ідповідно до вимог, визначених згідно з умовами тендерної документації.</w:t>
      </w:r>
    </w:p>
    <w:p>
      <w:pPr>
        <w:pStyle w:val="Normal"/>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highlight w:val="white"/>
        </w:rPr>
        <w:t>У</w:t>
      </w:r>
      <w:r>
        <w:rPr>
          <w:rFonts w:eastAsia="Times New Roman" w:cs="Times New Roman" w:ascii="Times New Roman" w:hAnsi="Times New Roman"/>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eastAsia="Times New Roman" w:cs="Times New Roman" w:ascii="Times New Roman" w:hAnsi="Times New Roman"/>
          <w:b/>
          <w:sz w:val="24"/>
          <w:szCs w:val="24"/>
          <w:highlight w:val="white"/>
        </w:rPr>
        <w:t>«</w:t>
      </w:r>
      <w:r>
        <w:rPr>
          <w:rFonts w:eastAsia="Times New Roman" w:cs="Times New Roman" w:ascii="Times New Roman" w:hAnsi="Times New Roman"/>
          <w:b/>
          <w:color w:val="000000"/>
          <w:sz w:val="24"/>
          <w:szCs w:val="24"/>
          <w:highlight w:val="white"/>
        </w:rPr>
        <w:t>або еквівалент</w:t>
      </w:r>
      <w:r>
        <w:rPr>
          <w:rFonts w:eastAsia="Times New Roman" w:cs="Times New Roman" w:ascii="Times New Roman" w:hAnsi="Times New Roman"/>
          <w:b/>
          <w:sz w:val="24"/>
          <w:szCs w:val="24"/>
          <w:highlight w:val="white"/>
        </w:rPr>
        <w:t>»</w:t>
      </w:r>
      <w:r>
        <w:rPr>
          <w:rFonts w:eastAsia="Times New Roman" w:cs="Times New Roman" w:ascii="Times New Roman" w:hAnsi="Times New Roman"/>
          <w:color w:val="000000"/>
          <w:sz w:val="24"/>
          <w:szCs w:val="24"/>
          <w:highlight w:val="white"/>
        </w:rPr>
        <w:t>.</w:t>
      </w:r>
    </w:p>
    <w:p>
      <w:pPr>
        <w:pStyle w:val="Normal"/>
        <w:spacing w:lineRule="auto" w:line="240" w:before="0" w:after="0"/>
        <w:ind w:left="0" w:firstLine="567"/>
        <w:jc w:val="both"/>
        <w:rPr>
          <w:rFonts w:ascii="Times New Roman" w:hAnsi="Times New Roman" w:eastAsia="Times New Roman" w:cs="Times New Roman"/>
          <w:b/>
          <w:b/>
          <w:color w:val="000000"/>
          <w:sz w:val="24"/>
          <w:szCs w:val="24"/>
        </w:rPr>
      </w:pPr>
      <w:r>
        <w:rPr>
          <w:rFonts w:eastAsia="Times New Roman" w:cs="Times New Roman" w:ascii="Times New Roman" w:hAnsi="Times New Roman"/>
          <w:sz w:val="24"/>
          <w:szCs w:val="24"/>
          <w:highlight w:val="white"/>
        </w:rPr>
        <w:t>У</w:t>
      </w:r>
      <w:r>
        <w:rPr>
          <w:rFonts w:eastAsia="Times New Roman" w:cs="Times New Roman" w:ascii="Times New Roman" w:hAnsi="Times New Roman"/>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eastAsia="Times New Roman" w:cs="Times New Roman" w:ascii="Times New Roman" w:hAnsi="Times New Roman"/>
          <w:b/>
          <w:color w:val="000000"/>
          <w:sz w:val="24"/>
          <w:szCs w:val="24"/>
          <w:highlight w:val="white"/>
        </w:rPr>
        <w:t>Таким чином, вважається, що до кожного посилання додається вираз «або еквівалент».</w:t>
      </w:r>
    </w:p>
    <w:p>
      <w:pPr>
        <w:pStyle w:val="Normal"/>
        <w:spacing w:lineRule="auto" w:line="240" w:before="0" w:after="0"/>
        <w:ind w:left="0" w:firstLine="567"/>
        <w:jc w:val="both"/>
        <w:rPr>
          <w:rFonts w:ascii="Times New Roman" w:hAnsi="Times New Roman" w:eastAsia="Times New Roman" w:cs="Times New Roman"/>
          <w:b/>
          <w:b/>
          <w:color w:val="000000"/>
          <w:sz w:val="24"/>
          <w:szCs w:val="24"/>
        </w:rPr>
      </w:pPr>
      <w:r>
        <w:rPr>
          <w:rFonts w:eastAsia="Times New Roman" w:cs="Times New Roman" w:ascii="Times New Roman" w:hAnsi="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pPr>
        <w:pStyle w:val="Normal"/>
        <w:shd w:val="clear" w:fill="FFFFFF"/>
        <w:spacing w:lineRule="auto" w:line="240" w:before="0" w:after="0"/>
        <w:ind w:left="0" w:hanging="2"/>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1"/>
        </w:numPr>
        <w:tabs>
          <w:tab w:val="left" w:pos="851" w:leader="none"/>
        </w:tabs>
        <w:ind w:left="-2" w:firstLine="566"/>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Детальний опис предмета закупівлі:</w:t>
      </w:r>
    </w:p>
    <w:tbl>
      <w:tblPr>
        <w:tblStyle w:val="Table1"/>
        <w:tblW w:w="9675" w:type="dxa"/>
        <w:jc w:val="left"/>
        <w:tblInd w:w="-1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89" w:type="dxa"/>
          <w:bottom w:w="0" w:type="dxa"/>
          <w:right w:w="108" w:type="dxa"/>
        </w:tblCellMar>
        <w:tblLook w:val="0000"/>
      </w:tblPr>
      <w:tblGrid>
        <w:gridCol w:w="4409"/>
        <w:gridCol w:w="5265"/>
      </w:tblGrid>
      <w:tr>
        <w:trPr>
          <w:trHeight w:val="552" w:hRule="atLeast"/>
        </w:trPr>
        <w:tc>
          <w:tcPr>
            <w:tcW w:w="4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9" w:type="dxa"/>
            </w:tcMar>
            <w:vAlign w:val="center"/>
          </w:tcPr>
          <w:p>
            <w:pPr>
              <w:pStyle w:val="Normal"/>
              <w:spacing w:lineRule="auto" w:line="240"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Назва предмета закупівлі </w:t>
            </w:r>
          </w:p>
        </w:tc>
        <w:tc>
          <w:tcPr>
            <w:tcW w:w="5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9" w:type="dxa"/>
            </w:tcMar>
            <w:vAlign w:val="center"/>
          </w:tcPr>
          <w:p>
            <w:pPr>
              <w:pStyle w:val="Normal"/>
              <w:spacing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Природний газ</w:t>
            </w:r>
          </w:p>
        </w:tc>
      </w:tr>
      <w:tr>
        <w:trPr>
          <w:trHeight w:val="552" w:hRule="atLeast"/>
        </w:trPr>
        <w:tc>
          <w:tcPr>
            <w:tcW w:w="4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9" w:type="dxa"/>
            </w:tcMar>
            <w:vAlign w:val="center"/>
          </w:tcPr>
          <w:p>
            <w:pPr>
              <w:pStyle w:val="Normal"/>
              <w:spacing w:lineRule="auto" w:line="240"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Код ДК 021:2015 за Єдиним закупівельним словником </w:t>
            </w:r>
          </w:p>
        </w:tc>
        <w:tc>
          <w:tcPr>
            <w:tcW w:w="5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9" w:type="dxa"/>
            </w:tcMar>
            <w:vAlign w:val="center"/>
          </w:tcPr>
          <w:p>
            <w:pPr>
              <w:pStyle w:val="Normal"/>
              <w:spacing w:before="0" w:after="160"/>
              <w:ind w:left="0" w:hanging="2"/>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09120000-6 – газове паливо</w:t>
            </w:r>
          </w:p>
        </w:tc>
      </w:tr>
      <w:tr>
        <w:trPr>
          <w:trHeight w:val="2006" w:hRule="atLeast"/>
        </w:trPr>
        <w:tc>
          <w:tcPr>
            <w:tcW w:w="4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9" w:type="dxa"/>
            </w:tcMar>
            <w:vAlign w:val="center"/>
          </w:tcPr>
          <w:p>
            <w:pPr>
              <w:pStyle w:val="Normal"/>
              <w:spacing w:lineRule="auto" w:line="240" w:before="0" w:after="160"/>
              <w:ind w:left="0" w:hanging="2"/>
              <w:rPr>
                <w:rFonts w:ascii="Times New Roman" w:hAnsi="Times New Roman" w:eastAsia="Times New Roman" w:cs="Times New Roman"/>
                <w:color w:val="000000"/>
                <w:sz w:val="24"/>
                <w:szCs w:val="24"/>
              </w:rPr>
            </w:pPr>
            <w:bookmarkStart w:id="0" w:name="_heading=h.6nupd4wi4rmk"/>
            <w:bookmarkEnd w:id="0"/>
            <w:r>
              <w:rPr>
                <w:rFonts w:eastAsia="Times New Roman" w:cs="Times New Roman" w:ascii="Times New Roman" w:hAnsi="Times New Roman"/>
                <w:sz w:val="24"/>
                <w:szCs w:val="24"/>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9" w:type="dxa"/>
            </w:tcMar>
            <w:vAlign w:val="center"/>
          </w:tcPr>
          <w:p>
            <w:pPr>
              <w:pStyle w:val="Normal"/>
              <w:spacing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природний газ: 09123000-7 – природний газ</w:t>
            </w:r>
          </w:p>
        </w:tc>
      </w:tr>
      <w:tr>
        <w:trPr>
          <w:trHeight w:val="632" w:hRule="atLeast"/>
        </w:trPr>
        <w:tc>
          <w:tcPr>
            <w:tcW w:w="4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9" w:type="dxa"/>
            </w:tcMar>
            <w:vAlign w:val="center"/>
          </w:tcPr>
          <w:p>
            <w:pPr>
              <w:pStyle w:val="Normal"/>
              <w:spacing w:lineRule="auto" w:line="240"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Одиниці виміру</w:t>
            </w:r>
          </w:p>
        </w:tc>
        <w:tc>
          <w:tcPr>
            <w:tcW w:w="5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9" w:type="dxa"/>
            </w:tcMar>
          </w:tcPr>
          <w:p>
            <w:pPr>
              <w:pStyle w:val="Normal"/>
              <w:spacing w:lineRule="auto" w:line="240" w:before="0" w:after="0"/>
              <w:ind w:left="0" w:hanging="2"/>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rPr>
              <w:t xml:space="preserve">тисяча кубічних </w:t>
            </w:r>
            <w:r>
              <w:rPr>
                <w:rFonts w:eastAsia="Times New Roman" w:cs="Times New Roman" w:ascii="Times New Roman" w:hAnsi="Times New Roman"/>
                <w:color w:val="000000"/>
                <w:sz w:val="24"/>
                <w:szCs w:val="24"/>
              </w:rPr>
              <w:t>метр</w:t>
            </w:r>
            <w:r>
              <w:rPr>
                <w:rFonts w:eastAsia="Times New Roman" w:cs="Times New Roman" w:ascii="Times New Roman" w:hAnsi="Times New Roman"/>
                <w:sz w:val="24"/>
                <w:szCs w:val="24"/>
              </w:rPr>
              <w:t>ів</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(тис. куб.м.)</w:t>
            </w:r>
          </w:p>
          <w:p>
            <w:pPr>
              <w:pStyle w:val="Normal"/>
              <w:spacing w:lineRule="auto" w:line="240" w:before="0"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632" w:hRule="atLeast"/>
        </w:trPr>
        <w:tc>
          <w:tcPr>
            <w:tcW w:w="4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9" w:type="dxa"/>
            </w:tcMar>
            <w:vAlign w:val="center"/>
          </w:tcPr>
          <w:p>
            <w:pPr>
              <w:pStyle w:val="Normal"/>
              <w:spacing w:lineRule="auto" w:line="240" w:before="0" w:after="160"/>
              <w:ind w:left="0" w:hanging="2"/>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rPr>
              <w:t xml:space="preserve">Кількість (обсяг), </w:t>
            </w:r>
            <w:r>
              <w:rPr>
                <w:rFonts w:eastAsia="Times New Roman" w:cs="Times New Roman" w:ascii="Times New Roman" w:hAnsi="Times New Roman"/>
                <w:sz w:val="24"/>
                <w:szCs w:val="24"/>
              </w:rPr>
              <w:t>тис. куб.м.</w:t>
            </w:r>
          </w:p>
        </w:tc>
        <w:tc>
          <w:tcPr>
            <w:tcW w:w="5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9" w:type="dxa"/>
            </w:tcMar>
            <w:vAlign w:val="center"/>
          </w:tcPr>
          <w:p>
            <w:pPr>
              <w:pStyle w:val="Normal"/>
              <w:spacing w:lineRule="auto" w:line="240" w:before="0" w:after="0"/>
              <w:ind w:left="0" w:hanging="2"/>
              <w:jc w:val="both"/>
              <w:rPr>
                <w:lang w:val="en-US"/>
              </w:rPr>
            </w:pPr>
            <w:r>
              <w:rPr>
                <w:rFonts w:eastAsia="Times New Roman" w:cs="Times New Roman" w:ascii="Times New Roman" w:hAnsi="Times New Roman"/>
                <w:color w:val="000000"/>
                <w:sz w:val="24"/>
                <w:szCs w:val="24"/>
                <w:lang w:val="en-US"/>
              </w:rPr>
              <w:t xml:space="preserve">15,0 </w:t>
            </w:r>
            <w:r>
              <w:rPr>
                <w:rFonts w:eastAsia="Times New Roman" w:cs="Times New Roman" w:ascii="Times New Roman" w:hAnsi="Times New Roman"/>
                <w:color w:val="000000"/>
                <w:sz w:val="24"/>
                <w:szCs w:val="24"/>
                <w:lang w:val="uk-UA"/>
              </w:rPr>
              <w:t>тис.куб м</w:t>
            </w:r>
          </w:p>
        </w:tc>
      </w:tr>
      <w:tr>
        <w:trPr>
          <w:trHeight w:val="632" w:hRule="atLeast"/>
        </w:trPr>
        <w:tc>
          <w:tcPr>
            <w:tcW w:w="4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9" w:type="dxa"/>
            </w:tcMar>
            <w:vAlign w:val="center"/>
          </w:tcPr>
          <w:p>
            <w:pPr>
              <w:pStyle w:val="Normal"/>
              <w:spacing w:lineRule="auto" w:line="240" w:before="0" w:after="160"/>
              <w:ind w:left="0" w:hanging="2"/>
              <w:rPr/>
            </w:pPr>
            <w:r>
              <w:rPr>
                <w:rFonts w:eastAsia="Times New Roman" w:cs="Times New Roman" w:ascii="Times New Roman" w:hAnsi="Times New Roman"/>
                <w:color w:val="000000"/>
                <w:sz w:val="24"/>
                <w:szCs w:val="24"/>
              </w:rPr>
              <w:t>Місце поставки товару</w:t>
            </w:r>
          </w:p>
        </w:tc>
        <w:tc>
          <w:tcPr>
            <w:tcW w:w="5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9" w:type="dxa"/>
            </w:tcMar>
          </w:tcPr>
          <w:p>
            <w:pPr>
              <w:pStyle w:val="Normal"/>
              <w:spacing w:lineRule="auto" w:line="240" w:before="0" w:after="0"/>
              <w:ind w:left="0" w:hanging="2"/>
              <w:jc w:val="both"/>
              <w:rPr>
                <w:b w:val="false"/>
                <w:b w:val="false"/>
                <w:bCs w:val="false"/>
                <w:i w:val="false"/>
                <w:i w:val="false"/>
                <w:iCs w:val="false"/>
              </w:rPr>
            </w:pPr>
            <w:r>
              <w:rPr>
                <w:b w:val="false"/>
                <w:bCs w:val="false"/>
                <w:i w:val="false"/>
                <w:iCs w:val="false"/>
              </w:rPr>
            </w:r>
          </w:p>
          <w:p>
            <w:pPr>
              <w:pStyle w:val="Normal"/>
              <w:spacing w:lineRule="auto" w:line="240" w:before="0" w:after="0"/>
              <w:ind w:left="0" w:hanging="2"/>
              <w:jc w:val="both"/>
              <w:rPr>
                <w:b w:val="false"/>
                <w:b w:val="false"/>
                <w:bCs w:val="false"/>
                <w:i w:val="false"/>
                <w:i w:val="false"/>
                <w:iCs w:val="false"/>
              </w:rPr>
            </w:pPr>
            <w:r>
              <w:rPr>
                <w:rFonts w:eastAsia="Times New Roman" w:cs="Times New Roman" w:ascii="Times New Roman" w:hAnsi="Times New Roman"/>
                <w:b w:val="false"/>
                <w:bCs w:val="false"/>
                <w:i w:val="false"/>
                <w:iCs w:val="false"/>
                <w:caps w:val="false"/>
                <w:smallCaps w:val="false"/>
                <w:color w:val="000000"/>
                <w:spacing w:val="0"/>
                <w:sz w:val="21"/>
                <w:szCs w:val="24"/>
                <w:u w:val="single"/>
              </w:rPr>
              <w:t xml:space="preserve">вул. Героїв Майдану, буд. </w:t>
            </w:r>
            <w:r>
              <w:rPr>
                <w:rFonts w:eastAsia="Times New Roman" w:cs="Times New Roman" w:ascii="Times New Roman" w:hAnsi="Times New Roman"/>
                <w:b w:val="false"/>
                <w:bCs w:val="false"/>
                <w:i w:val="false"/>
                <w:iCs w:val="false"/>
                <w:caps w:val="false"/>
                <w:smallCaps w:val="false"/>
                <w:color w:val="000000"/>
                <w:spacing w:val="0"/>
                <w:sz w:val="21"/>
                <w:szCs w:val="24"/>
                <w:u w:val="single"/>
                <w:lang w:val="uk-UA"/>
              </w:rPr>
              <w:t xml:space="preserve">58, </w:t>
            </w:r>
            <w:bookmarkStart w:id="1" w:name="__DdeLink__11108_4254916562"/>
            <w:bookmarkStart w:id="2" w:name="__DdeLink__3762_3194071749"/>
            <w:r>
              <w:rPr>
                <w:rFonts w:eastAsia="Times New Roman" w:cs="Times New Roman" w:ascii="Times New Roman" w:hAnsi="Times New Roman"/>
                <w:b w:val="false"/>
                <w:bCs w:val="false"/>
                <w:i w:val="false"/>
                <w:iCs w:val="false"/>
                <w:caps w:val="false"/>
                <w:smallCaps w:val="false"/>
                <w:color w:val="000000"/>
                <w:spacing w:val="0"/>
                <w:sz w:val="21"/>
                <w:szCs w:val="24"/>
                <w:u w:val="single"/>
              </w:rPr>
              <w:t>вул. Героїв Майдану, буд. 60</w:t>
            </w:r>
            <w:bookmarkEnd w:id="1"/>
            <w:bookmarkEnd w:id="2"/>
            <w:r>
              <w:rPr>
                <w:rFonts w:eastAsia="Times New Roman" w:cs="Times New Roman" w:ascii="Times New Roman" w:hAnsi="Times New Roman"/>
                <w:b w:val="false"/>
                <w:bCs w:val="false"/>
                <w:i w:val="false"/>
                <w:iCs w:val="false"/>
                <w:color w:val="000000"/>
                <w:sz w:val="24"/>
                <w:szCs w:val="24"/>
                <w:u w:val="single"/>
              </w:rPr>
              <w:t xml:space="preserve"> , вул. Чорноморська, буд </w:t>
            </w:r>
            <w:r>
              <w:rPr>
                <w:rFonts w:eastAsia="Times New Roman" w:cs="Times New Roman" w:ascii="Times New Roman" w:hAnsi="Times New Roman"/>
                <w:b w:val="false"/>
                <w:bCs w:val="false"/>
                <w:i w:val="false"/>
                <w:iCs w:val="false"/>
                <w:color w:val="000000"/>
                <w:sz w:val="24"/>
                <w:szCs w:val="24"/>
                <w:u w:val="single"/>
                <w:lang w:val="uk-UA"/>
              </w:rPr>
              <w:t>2А, вул. Текстильників, буд. 1</w:t>
            </w:r>
            <w:r>
              <w:rPr>
                <w:rFonts w:eastAsia="Times New Roman" w:cs="Times New Roman" w:ascii="Times New Roman" w:hAnsi="Times New Roman"/>
                <w:b w:val="false"/>
                <w:bCs w:val="false"/>
                <w:i w:val="false"/>
                <w:iCs w:val="false"/>
                <w:color w:val="000000"/>
                <w:sz w:val="24"/>
                <w:szCs w:val="24"/>
                <w:u w:val="single"/>
              </w:rPr>
              <w:t>м. Чернівці, Чернівецька обл., Україна</w:t>
            </w:r>
          </w:p>
        </w:tc>
      </w:tr>
      <w:tr>
        <w:trPr>
          <w:trHeight w:val="632" w:hRule="atLeast"/>
        </w:trPr>
        <w:tc>
          <w:tcPr>
            <w:tcW w:w="4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9" w:type="dxa"/>
            </w:tcMar>
            <w:vAlign w:val="center"/>
          </w:tcPr>
          <w:p>
            <w:pPr>
              <w:pStyle w:val="Normal"/>
              <w:spacing w:lineRule="auto" w:line="240"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Строк поставки товару</w:t>
            </w:r>
          </w:p>
        </w:tc>
        <w:tc>
          <w:tcPr>
            <w:tcW w:w="5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9" w:type="dxa"/>
            </w:tcMar>
          </w:tcPr>
          <w:p>
            <w:pPr>
              <w:pStyle w:val="Normal"/>
              <w:spacing w:lineRule="auto" w:line="240" w:before="0" w:after="0"/>
              <w:ind w:left="0" w:hanging="2"/>
              <w:jc w:val="both"/>
              <w:rPr>
                <w:color w:val="000000"/>
              </w:rPr>
            </w:pPr>
            <w:r>
              <w:rPr>
                <w:rFonts w:eastAsia="Times New Roman" w:cs="Times New Roman" w:ascii="Times New Roman" w:hAnsi="Times New Roman"/>
                <w:i w:val="false"/>
                <w:iCs w:val="false"/>
                <w:color w:val="000000"/>
                <w:sz w:val="24"/>
                <w:szCs w:val="24"/>
              </w:rPr>
              <w:t>Цілодобово до 31.12.20</w:t>
            </w:r>
            <w:r>
              <w:rPr>
                <w:rFonts w:eastAsia="Times New Roman" w:cs="Times New Roman" w:ascii="Times New Roman" w:hAnsi="Times New Roman"/>
                <w:i w:val="false"/>
                <w:iCs w:val="false"/>
                <w:color w:val="000000"/>
                <w:sz w:val="24"/>
                <w:szCs w:val="24"/>
                <w:lang w:val="uk-UA"/>
              </w:rPr>
              <w:t>23</w:t>
            </w:r>
            <w:r>
              <w:rPr>
                <w:rFonts w:eastAsia="Times New Roman" w:cs="Times New Roman" w:ascii="Times New Roman" w:hAnsi="Times New Roman"/>
                <w:i w:val="false"/>
                <w:iCs w:val="false"/>
                <w:color w:val="000000"/>
                <w:sz w:val="24"/>
                <w:szCs w:val="24"/>
              </w:rPr>
              <w:t xml:space="preserve"> включно. </w:t>
            </w:r>
          </w:p>
        </w:tc>
      </w:tr>
    </w:tbl>
    <w:p>
      <w:pPr>
        <w:pStyle w:val="Normal"/>
        <w:tabs>
          <w:tab w:val="left" w:pos="284" w:leader="none"/>
        </w:tabs>
        <w:spacing w:lineRule="auto" w:line="240" w:before="0" w:after="0"/>
        <w:ind w:left="0" w:hanging="2"/>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1"/>
        </w:numPr>
        <w:tabs>
          <w:tab w:val="left" w:pos="284" w:leader="none"/>
          <w:tab w:val="left" w:pos="993" w:leader="none"/>
          <w:tab w:val="left" w:pos="1560" w:leader="none"/>
        </w:tabs>
        <w:spacing w:lineRule="auto" w:line="240" w:before="0" w:after="0"/>
        <w:ind w:left="2" w:firstLine="56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Постачання природного газу, його технічні та якісні характеристики повинні відповідати  нормам чинного законодавства України:</w:t>
      </w:r>
    </w:p>
    <w:p>
      <w:pPr>
        <w:pStyle w:val="Normal"/>
        <w:numPr>
          <w:ilvl w:val="0"/>
          <w:numId w:val="2"/>
        </w:numPr>
        <w:tabs>
          <w:tab w:val="left" w:pos="284" w:leader="none"/>
          <w:tab w:val="left" w:pos="993" w:leader="none"/>
          <w:tab w:val="left" w:pos="1560" w:leader="none"/>
        </w:tabs>
        <w:spacing w:lineRule="auto" w:line="240" w:before="0" w:after="0"/>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Закону України «Про ринок природного газу» № 329-VIII від 09.04.2015;</w:t>
      </w:r>
    </w:p>
    <w:p>
      <w:pPr>
        <w:pStyle w:val="Normal"/>
        <w:numPr>
          <w:ilvl w:val="0"/>
          <w:numId w:val="2"/>
        </w:numPr>
        <w:tabs>
          <w:tab w:val="left" w:pos="284" w:leader="none"/>
          <w:tab w:val="left" w:pos="993" w:leader="none"/>
          <w:tab w:val="left" w:pos="1560" w:leader="none"/>
        </w:tabs>
        <w:spacing w:lineRule="auto" w:line="240" w:before="0" w:after="0"/>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pPr>
        <w:pStyle w:val="Normal"/>
        <w:numPr>
          <w:ilvl w:val="0"/>
          <w:numId w:val="2"/>
        </w:numPr>
        <w:tabs>
          <w:tab w:val="left" w:pos="284" w:leader="none"/>
          <w:tab w:val="left" w:pos="993" w:leader="none"/>
          <w:tab w:val="left" w:pos="1560" w:leader="none"/>
        </w:tabs>
        <w:spacing w:lineRule="auto" w:line="240" w:before="0" w:after="0"/>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pPr>
        <w:pStyle w:val="Normal"/>
        <w:numPr>
          <w:ilvl w:val="0"/>
          <w:numId w:val="2"/>
        </w:numPr>
        <w:tabs>
          <w:tab w:val="left" w:pos="284" w:leader="none"/>
          <w:tab w:val="left" w:pos="993" w:leader="none"/>
          <w:tab w:val="left" w:pos="1560" w:leader="none"/>
        </w:tabs>
        <w:spacing w:lineRule="auto" w:line="240" w:before="0" w:after="0"/>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pPr>
        <w:pStyle w:val="Normal"/>
        <w:numPr>
          <w:ilvl w:val="0"/>
          <w:numId w:val="2"/>
        </w:numPr>
        <w:tabs>
          <w:tab w:val="left" w:pos="284" w:leader="none"/>
          <w:tab w:val="left" w:pos="993" w:leader="none"/>
          <w:tab w:val="left" w:pos="1560" w:leader="none"/>
        </w:tabs>
        <w:spacing w:lineRule="auto" w:line="240" w:before="0" w:after="0"/>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іншим нормативно-правовим актам, прийнятим на виконання Закону України «Про ринок природного газу».</w:t>
      </w:r>
    </w:p>
    <w:p>
      <w:pPr>
        <w:pStyle w:val="Normal"/>
        <w:ind w:left="0"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1"/>
        </w:numPr>
        <w:tabs>
          <w:tab w:val="left" w:pos="993" w:leader="none"/>
        </w:tabs>
        <w:spacing w:lineRule="auto" w:line="240" w:before="0" w:after="0"/>
        <w:ind w:left="2" w:firstLine="564"/>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Вимоги щодо якості </w:t>
      </w:r>
      <w:r>
        <w:rPr>
          <w:rFonts w:eastAsia="Times New Roman" w:cs="Times New Roman" w:ascii="Times New Roman" w:hAnsi="Times New Roman"/>
          <w:b/>
          <w:sz w:val="24"/>
          <w:szCs w:val="24"/>
        </w:rPr>
        <w:t>предмета закупівлі</w:t>
      </w:r>
      <w:r>
        <w:rPr>
          <w:rFonts w:eastAsia="Times New Roman" w:cs="Times New Roman" w:ascii="Times New Roman" w:hAnsi="Times New Roman"/>
          <w:b/>
          <w:color w:val="000000"/>
          <w:sz w:val="24"/>
          <w:szCs w:val="24"/>
        </w:rPr>
        <w:t xml:space="preserve">. </w:t>
      </w:r>
    </w:p>
    <w:p>
      <w:pPr>
        <w:pStyle w:val="Normal"/>
        <w:shd w:val="clear" w:fill="FFFFFF"/>
        <w:spacing w:lineRule="auto" w:line="240" w:before="0" w:after="0"/>
        <w:ind w:lef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pPr>
        <w:pStyle w:val="Normal"/>
        <w:shd w:val="clear" w:fill="FFFFFF"/>
        <w:spacing w:lineRule="auto" w:line="240" w:before="0" w:after="0"/>
        <w:ind w:left="0" w:firstLine="72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pPr>
        <w:pStyle w:val="Normal"/>
        <w:spacing w:lineRule="auto" w:line="240" w:before="0"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1"/>
        </w:numPr>
        <w:tabs>
          <w:tab w:val="left" w:pos="284" w:leader="none"/>
          <w:tab w:val="left" w:pos="993" w:leader="none"/>
          <w:tab w:val="left" w:pos="1560" w:leader="none"/>
        </w:tabs>
        <w:spacing w:lineRule="auto" w:line="240" w:before="0" w:after="0"/>
        <w:ind w:left="2" w:firstLine="564"/>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Особливі вимоги до предмета закупівлі.</w:t>
      </w:r>
    </w:p>
    <w:p>
      <w:pPr>
        <w:pStyle w:val="Normal"/>
        <w:tabs>
          <w:tab w:val="left" w:pos="284" w:leader="none"/>
          <w:tab w:val="left" w:pos="993" w:leader="none"/>
          <w:tab w:val="left" w:pos="1560" w:leader="none"/>
        </w:tabs>
        <w:spacing w:lineRule="auto" w:line="240" w:before="0" w:after="0"/>
        <w:ind w:left="0" w:firstLine="567"/>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pPr>
        <w:pStyle w:val="Normal"/>
        <w:tabs>
          <w:tab w:val="left" w:pos="284" w:leader="none"/>
          <w:tab w:val="left" w:pos="993" w:leader="none"/>
          <w:tab w:val="left" w:pos="1560" w:leader="none"/>
        </w:tabs>
        <w:spacing w:lineRule="auto" w:line="240" w:before="0" w:after="0"/>
        <w:ind w:left="0" w:firstLine="567"/>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sz w:val="24"/>
          <w:szCs w:val="24"/>
          <w:highlight w:val="white"/>
        </w:rPr>
        <w:t xml:space="preserve">Ціна на предмет даної закупівлі обов'язково повинна включати до вартості ціни тендерної пропозиції вартість </w:t>
      </w:r>
      <w:r>
        <w:rPr>
          <w:rFonts w:eastAsia="Times New Roman" w:cs="Times New Roman" w:ascii="Times New Roman" w:hAnsi="Times New Roman"/>
          <w:b/>
          <w:sz w:val="24"/>
          <w:szCs w:val="24"/>
          <w:highlight w:val="white"/>
        </w:rPr>
        <w:t>послуг, пов’язаних з транспортуванням газу</w:t>
      </w:r>
      <w:r>
        <w:rPr>
          <w:rFonts w:eastAsia="Times New Roman" w:cs="Times New Roman" w:ascii="Times New Roman" w:hAnsi="Times New Roman"/>
          <w:sz w:val="24"/>
          <w:szCs w:val="24"/>
          <w:highlight w:val="white"/>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pPr>
        <w:pStyle w:val="Normal"/>
        <w:tabs>
          <w:tab w:val="left" w:pos="284" w:leader="none"/>
          <w:tab w:val="left" w:pos="993" w:leader="none"/>
          <w:tab w:val="left" w:pos="1560" w:leader="none"/>
        </w:tabs>
        <w:spacing w:lineRule="auto" w:line="240" w:before="0" w:after="0"/>
        <w:ind w:left="0" w:firstLine="567"/>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sz w:val="24"/>
          <w:szCs w:val="24"/>
          <w:highlight w:val="white"/>
        </w:rPr>
        <w:t xml:space="preserve">При цьому до ціни газу </w:t>
      </w:r>
      <w:r>
        <w:rPr>
          <w:rFonts w:eastAsia="Times New Roman" w:cs="Times New Roman" w:ascii="Times New Roman" w:hAnsi="Times New Roman"/>
          <w:b/>
          <w:sz w:val="24"/>
          <w:szCs w:val="24"/>
          <w:highlight w:val="white"/>
        </w:rPr>
        <w:t>не включається вартість послуг з розподілу природного газу</w:t>
      </w:r>
      <w:r>
        <w:rPr>
          <w:rFonts w:eastAsia="Times New Roman" w:cs="Times New Roman" w:ascii="Times New Roman" w:hAnsi="Times New Roman"/>
          <w:sz w:val="24"/>
          <w:szCs w:val="24"/>
          <w:highlight w:val="white"/>
        </w:rPr>
        <w:t>, що є предметом регулювання окремого договору між Замовником та Оператором газорозподільної системи.</w:t>
      </w:r>
    </w:p>
    <w:p>
      <w:pPr>
        <w:pStyle w:val="Normal"/>
        <w:tabs>
          <w:tab w:val="left" w:pos="284" w:leader="none"/>
          <w:tab w:val="left" w:pos="993" w:leader="none"/>
          <w:tab w:val="left" w:pos="1560" w:leader="none"/>
        </w:tabs>
        <w:ind w:left="0" w:hanging="2"/>
        <w:rPr>
          <w:rFonts w:ascii="Times New Roman" w:hAnsi="Times New Roman" w:eastAsia="Times New Roman" w:cs="Times New Roman"/>
          <w:sz w:val="24"/>
          <w:szCs w:val="24"/>
        </w:rPr>
      </w:pPr>
      <w:r>
        <w:rPr>
          <w:rFonts w:eastAsia="Times New Roman" w:cs="Times New Roman" w:ascii="Times New Roman" w:hAnsi="Times New Roman"/>
          <w:sz w:val="24"/>
          <w:szCs w:val="24"/>
        </w:rPr>
        <w:tab/>
      </w:r>
    </w:p>
    <w:p>
      <w:pPr>
        <w:pStyle w:val="Normal"/>
        <w:tabs>
          <w:tab w:val="left" w:pos="284" w:leader="none"/>
          <w:tab w:val="left" w:pos="993" w:leader="none"/>
          <w:tab w:val="left" w:pos="1560" w:leader="none"/>
        </w:tabs>
        <w:spacing w:lineRule="auto" w:line="276" w:before="0" w:after="0"/>
        <w:ind w:left="-1" w:hanging="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5.</w:t>
      </w:r>
      <w:r>
        <w:rPr>
          <w:rFonts w:eastAsia="Times New Roman" w:cs="Times New Roman" w:ascii="Times New Roman" w:hAnsi="Times New Roman"/>
          <w:sz w:val="14"/>
          <w:szCs w:val="14"/>
          <w:highlight w:val="white"/>
        </w:rPr>
        <w:t xml:space="preserve">   </w:t>
      </w:r>
      <w:r>
        <w:rPr>
          <w:rFonts w:eastAsia="Times New Roman" w:cs="Times New Roman" w:ascii="Times New Roman" w:hAnsi="Times New Roman"/>
          <w:b/>
          <w:sz w:val="24"/>
          <w:szCs w:val="24"/>
          <w:highlight w:val="white"/>
        </w:rPr>
        <w:t>Умови постачання.</w:t>
      </w:r>
    </w:p>
    <w:p>
      <w:pPr>
        <w:pStyle w:val="Normal"/>
        <w:tabs>
          <w:tab w:val="left" w:pos="284" w:leader="none"/>
          <w:tab w:val="left" w:pos="993" w:leader="none"/>
          <w:tab w:val="left" w:pos="1560" w:leader="none"/>
        </w:tabs>
        <w:spacing w:lineRule="auto" w:line="276" w:before="0" w:after="0"/>
        <w:ind w:left="-1"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pPr>
        <w:pStyle w:val="Normal"/>
        <w:tabs>
          <w:tab w:val="left" w:pos="284" w:leader="none"/>
          <w:tab w:val="left" w:pos="993" w:leader="none"/>
          <w:tab w:val="left" w:pos="1560" w:leader="none"/>
        </w:tabs>
        <w:spacing w:lineRule="auto" w:line="276" w:before="0" w:after="0"/>
        <w:ind w:left="-1" w:hanging="0"/>
        <w:jc w:val="both"/>
        <w:rPr/>
      </w:pPr>
      <w:r>
        <w:rPr>
          <w:rFonts w:eastAsia="Times New Roman" w:cs="Times New Roman" w:ascii="Times New Roman" w:hAnsi="Times New Roman"/>
          <w:sz w:val="24"/>
          <w:szCs w:val="24"/>
          <w:highlight w:val="white"/>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sectPr>
      <w:type w:val="nextPage"/>
      <w:pgSz w:w="11906" w:h="16838"/>
      <w:pgMar w:left="1417" w:right="850" w:header="0" w:top="850" w:footer="0" w:bottom="85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Georgia">
    <w:charset w:val="cc"/>
    <w:family w:val="roman"/>
    <w:pitch w:val="variable"/>
  </w:font>
  <w:font w:name="Wingdings">
    <w:charset w:val="02"/>
    <w:family w:val="auto"/>
    <w:pitch w:val="variable"/>
  </w:font>
  <w:font w:name="Wingdings 2">
    <w:charset w:val="02"/>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vertAlign w:val="baseline"/>
        <w:position w:val="0"/>
        <w:sz w:val="24"/>
        <w:sz w:val="24"/>
        <w:b/>
        <w:rFonts w:ascii="Times New Roman" w:hAnsi="Times New Roman"/>
      </w:rPr>
    </w:lvl>
    <w:lvl w:ilvl="1">
      <w:start w:val="1"/>
      <w:numFmt w:val="lowerLetter"/>
      <w:lvlText w:val="%2."/>
      <w:lvlJc w:val="left"/>
      <w:pPr>
        <w:ind w:left="1440" w:hanging="360"/>
      </w:pPr>
      <w:rPr>
        <w:vertAlign w:val="baseline"/>
        <w:position w:val="0"/>
        <w:sz w:val="22"/>
        <w:sz w:val="22"/>
      </w:rPr>
    </w:lvl>
    <w:lvl w:ilvl="2">
      <w:start w:val="1"/>
      <w:numFmt w:val="lowerRoman"/>
      <w:lvlText w:val="%3."/>
      <w:lvlJc w:val="right"/>
      <w:pPr>
        <w:ind w:left="2160" w:hanging="180"/>
      </w:pPr>
      <w:rPr>
        <w:vertAlign w:val="baseline"/>
        <w:position w:val="0"/>
        <w:sz w:val="22"/>
        <w:sz w:val="22"/>
      </w:rPr>
    </w:lvl>
    <w:lvl w:ilvl="3">
      <w:start w:val="1"/>
      <w:numFmt w:val="decimal"/>
      <w:lvlText w:val="%4."/>
      <w:lvlJc w:val="left"/>
      <w:pPr>
        <w:ind w:left="2880" w:hanging="360"/>
      </w:pPr>
      <w:rPr>
        <w:vertAlign w:val="baseline"/>
        <w:position w:val="0"/>
        <w:sz w:val="22"/>
        <w:sz w:val="22"/>
      </w:rPr>
    </w:lvl>
    <w:lvl w:ilvl="4">
      <w:start w:val="1"/>
      <w:numFmt w:val="lowerLetter"/>
      <w:lvlText w:val="%5."/>
      <w:lvlJc w:val="left"/>
      <w:pPr>
        <w:ind w:left="3600" w:hanging="360"/>
      </w:pPr>
      <w:rPr>
        <w:vertAlign w:val="baseline"/>
        <w:position w:val="0"/>
        <w:sz w:val="22"/>
        <w:sz w:val="22"/>
      </w:rPr>
    </w:lvl>
    <w:lvl w:ilvl="5">
      <w:start w:val="1"/>
      <w:numFmt w:val="lowerRoman"/>
      <w:lvlText w:val="%6."/>
      <w:lvlJc w:val="right"/>
      <w:pPr>
        <w:ind w:left="4320" w:hanging="180"/>
      </w:pPr>
      <w:rPr>
        <w:vertAlign w:val="baseline"/>
        <w:position w:val="0"/>
        <w:sz w:val="22"/>
        <w:sz w:val="22"/>
      </w:rPr>
    </w:lvl>
    <w:lvl w:ilvl="6">
      <w:start w:val="1"/>
      <w:numFmt w:val="decimal"/>
      <w:lvlText w:val="%7."/>
      <w:lvlJc w:val="left"/>
      <w:pPr>
        <w:ind w:left="5040" w:hanging="360"/>
      </w:pPr>
      <w:rPr>
        <w:vertAlign w:val="baseline"/>
        <w:position w:val="0"/>
        <w:sz w:val="22"/>
        <w:sz w:val="22"/>
      </w:rPr>
    </w:lvl>
    <w:lvl w:ilvl="7">
      <w:start w:val="1"/>
      <w:numFmt w:val="lowerLetter"/>
      <w:lvlText w:val="%8."/>
      <w:lvlJc w:val="left"/>
      <w:pPr>
        <w:ind w:left="5760" w:hanging="360"/>
      </w:pPr>
      <w:rPr>
        <w:vertAlign w:val="baseline"/>
        <w:position w:val="0"/>
        <w:sz w:val="22"/>
        <w:sz w:val="22"/>
      </w:rPr>
    </w:lvl>
    <w:lvl w:ilvl="8">
      <w:start w:val="1"/>
      <w:numFmt w:val="lowerRoman"/>
      <w:lvlText w:val="%9."/>
      <w:lvlJc w:val="right"/>
      <w:pPr>
        <w:ind w:left="6480" w:hanging="180"/>
      </w:pPr>
      <w:rPr>
        <w:vertAlign w:val="baseline"/>
        <w:position w:val="0"/>
        <w:sz w:val="22"/>
        <w:sz w:val="22"/>
      </w:rPr>
    </w:lvl>
  </w:abstractNum>
  <w:abstractNum w:abstractNumId="2">
    <w:lvl w:ilvl="0">
      <w:start w:val="1"/>
      <w:numFmt w:val="bullet"/>
      <w:lvlText w:val=""/>
      <w:lvlJc w:val="left"/>
      <w:pPr>
        <w:ind w:left="720" w:hanging="360"/>
      </w:pPr>
      <w:rPr>
        <w:rFonts w:ascii="Wingdings" w:hAnsi="Wingdings" w:cs="Wingdings" w:hint="default"/>
        <w:sz w:val="24"/>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ru-RU" w:eastAsia="zh-CN" w:bidi="hi-IN"/>
      </w:rPr>
    </w:rPrDefault>
    <w:pPrDefault>
      <w:pPr/>
    </w:pPrDefault>
  </w:docDefaults>
  <w:style w:type="paragraph" w:styleId="Normal" w:default="1">
    <w:name w:val="Normal"/>
    <w:qFormat/>
    <w:pPr>
      <w:widowControl/>
      <w:suppressAutoHyphens w:val="true"/>
      <w:bidi w:val="0"/>
      <w:spacing w:lineRule="auto" w:line="259" w:before="0" w:after="160"/>
      <w:ind w:left="-1" w:hanging="1"/>
      <w:jc w:val="left"/>
      <w:textAlignment w:val="top"/>
      <w:outlineLvl w:val="0"/>
    </w:pPr>
    <w:rPr>
      <w:rFonts w:ascii="Calibri" w:hAnsi="Calibri" w:eastAsia="Calibri" w:cs="Calibri"/>
      <w:color w:val="00000A"/>
      <w:kern w:val="0"/>
      <w:sz w:val="22"/>
      <w:szCs w:val="22"/>
      <w:lang w:val="ru-RU" w:eastAsia="en-US" w:bidi="hi-IN"/>
    </w:rPr>
  </w:style>
  <w:style w:type="paragraph" w:styleId="1">
    <w:name w:val="Heading 1"/>
    <w:basedOn w:val="Normal"/>
    <w:next w:val="Normal"/>
    <w:qFormat/>
    <w:pPr>
      <w:keepNext w:val="true"/>
      <w:spacing w:lineRule="auto" w:line="240" w:before="0" w:after="0"/>
      <w:ind w:left="-1" w:right="-567" w:hanging="1"/>
      <w:jc w:val="both"/>
    </w:pPr>
    <w:rPr>
      <w:rFonts w:ascii="Times New Roman" w:hAnsi="Times New Roman" w:eastAsia="Times New Roman"/>
      <w:b/>
      <w:i/>
      <w:sz w:val="28"/>
      <w:szCs w:val="20"/>
      <w:lang w:val="uk-UA" w:eastAsia="ru-RU"/>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Основной текст Знак"/>
    <w:qFormat/>
    <w:rPr>
      <w:rFonts w:ascii="Times New Roman" w:hAnsi="Times New Roman" w:eastAsia="Times New Roman" w:cs="Times New Roman"/>
      <w:w w:val="100"/>
      <w:position w:val="0"/>
      <w:sz w:val="24"/>
      <w:sz w:val="24"/>
      <w:szCs w:val="24"/>
      <w:effect w:val="none"/>
      <w:vertAlign w:val="baseline"/>
      <w:em w:val="none"/>
      <w:lang w:val="uk-UA" w:eastAsia="uk-UA"/>
    </w:rPr>
  </w:style>
  <w:style w:type="character" w:styleId="Style9" w:customStyle="1">
    <w:name w:val="Название Знак"/>
    <w:qFormat/>
    <w:rPr>
      <w:rFonts w:ascii="Cambria" w:hAnsi="Cambria" w:cs="Times New Roman"/>
      <w:b/>
      <w:bCs/>
      <w:w w:val="100"/>
      <w:kern w:val="2"/>
      <w:position w:val="0"/>
      <w:sz w:val="32"/>
      <w:sz w:val="32"/>
      <w:szCs w:val="32"/>
      <w:effect w:val="none"/>
      <w:vertAlign w:val="baseline"/>
      <w:em w:val="none"/>
    </w:rPr>
  </w:style>
  <w:style w:type="character" w:styleId="Style10" w:customStyle="1">
    <w:name w:val="Заголовок Знак"/>
    <w:qFormat/>
    <w:rPr>
      <w:rFonts w:ascii="Calibri Light" w:hAnsi="Calibri Light" w:eastAsia="Times New Roman" w:cs="Times New Roman"/>
      <w:spacing w:val="-10"/>
      <w:w w:val="100"/>
      <w:kern w:val="2"/>
      <w:position w:val="0"/>
      <w:sz w:val="56"/>
      <w:sz w:val="56"/>
      <w:szCs w:val="56"/>
      <w:effect w:val="none"/>
      <w:vertAlign w:val="baseline"/>
      <w:em w:val="none"/>
    </w:rPr>
  </w:style>
  <w:style w:type="character" w:styleId="21" w:customStyle="1">
    <w:name w:val="Абзац списка Знак;Список уровня 2 Знак"/>
    <w:qFormat/>
    <w:rPr>
      <w:w w:val="100"/>
      <w:position w:val="0"/>
      <w:sz w:val="22"/>
      <w:sz w:val="22"/>
      <w:szCs w:val="22"/>
      <w:effect w:val="none"/>
      <w:vertAlign w:val="baseline"/>
      <w:em w:val="none"/>
      <w:lang w:val="ru-RU" w:eastAsia="en-US"/>
    </w:rPr>
  </w:style>
  <w:style w:type="character" w:styleId="Rvts0" w:customStyle="1">
    <w:name w:val="rvts0"/>
    <w:basedOn w:val="DefaultParagraphFont"/>
    <w:qFormat/>
    <w:rPr>
      <w:w w:val="100"/>
      <w:position w:val="0"/>
      <w:sz w:val="22"/>
      <w:sz w:val="22"/>
      <w:effect w:val="none"/>
      <w:vertAlign w:val="baseline"/>
      <w:em w:val="none"/>
    </w:rPr>
  </w:style>
  <w:style w:type="character" w:styleId="Style11" w:customStyle="1">
    <w:name w:val="Текст выноски Знак"/>
    <w:qFormat/>
    <w:rPr>
      <w:rFonts w:ascii="Segoe UI" w:hAnsi="Segoe UI" w:cs="Segoe UI"/>
      <w:w w:val="100"/>
      <w:position w:val="0"/>
      <w:sz w:val="18"/>
      <w:sz w:val="18"/>
      <w:szCs w:val="18"/>
      <w:effect w:val="none"/>
      <w:vertAlign w:val="baseline"/>
      <w:em w:val="none"/>
      <w:lang w:eastAsia="en-US"/>
    </w:rPr>
  </w:style>
  <w:style w:type="character" w:styleId="11" w:customStyle="1">
    <w:name w:val="Заголовок 1 Знак"/>
    <w:qFormat/>
    <w:rPr>
      <w:rFonts w:ascii="Times New Roman" w:hAnsi="Times New Roman" w:eastAsia="Times New Roman"/>
      <w:b/>
      <w:i/>
      <w:w w:val="100"/>
      <w:position w:val="0"/>
      <w:sz w:val="28"/>
      <w:sz w:val="28"/>
      <w:effect w:val="none"/>
      <w:vertAlign w:val="baseline"/>
      <w:em w:val="none"/>
      <w:lang w:val="uk-UA"/>
    </w:rPr>
  </w:style>
  <w:style w:type="character" w:styleId="ListLabel1">
    <w:name w:val="ListLabel 1"/>
    <w:qFormat/>
    <w:rPr>
      <w:rFonts w:ascii="Times New Roman" w:hAnsi="Times New Roman"/>
      <w:b/>
      <w:position w:val="0"/>
      <w:sz w:val="24"/>
      <w:sz w:val="24"/>
      <w:vertAlign w:val="baseline"/>
    </w:rPr>
  </w:style>
  <w:style w:type="character" w:styleId="ListLabel2">
    <w:name w:val="ListLabel 2"/>
    <w:qFormat/>
    <w:rPr>
      <w:position w:val="0"/>
      <w:sz w:val="22"/>
      <w:sz w:val="22"/>
      <w:vertAlign w:val="baseline"/>
    </w:rPr>
  </w:style>
  <w:style w:type="character" w:styleId="ListLabel3">
    <w:name w:val="ListLabel 3"/>
    <w:qFormat/>
    <w:rPr>
      <w:position w:val="0"/>
      <w:sz w:val="22"/>
      <w:sz w:val="22"/>
      <w:vertAlign w:val="baseline"/>
    </w:rPr>
  </w:style>
  <w:style w:type="character" w:styleId="ListLabel4">
    <w:name w:val="ListLabel 4"/>
    <w:qFormat/>
    <w:rPr>
      <w:position w:val="0"/>
      <w:sz w:val="22"/>
      <w:sz w:val="22"/>
      <w:vertAlign w:val="baseline"/>
    </w:rPr>
  </w:style>
  <w:style w:type="character" w:styleId="ListLabel5">
    <w:name w:val="ListLabel 5"/>
    <w:qFormat/>
    <w:rPr>
      <w:position w:val="0"/>
      <w:sz w:val="22"/>
      <w:sz w:val="22"/>
      <w:vertAlign w:val="baseline"/>
    </w:rPr>
  </w:style>
  <w:style w:type="character" w:styleId="ListLabel6">
    <w:name w:val="ListLabel 6"/>
    <w:qFormat/>
    <w:rPr>
      <w:position w:val="0"/>
      <w:sz w:val="22"/>
      <w:sz w:val="22"/>
      <w:vertAlign w:val="baseline"/>
    </w:rPr>
  </w:style>
  <w:style w:type="character" w:styleId="ListLabel7">
    <w:name w:val="ListLabel 7"/>
    <w:qFormat/>
    <w:rPr>
      <w:position w:val="0"/>
      <w:sz w:val="22"/>
      <w:sz w:val="22"/>
      <w:vertAlign w:val="baseline"/>
    </w:rPr>
  </w:style>
  <w:style w:type="character" w:styleId="ListLabel8">
    <w:name w:val="ListLabel 8"/>
    <w:qFormat/>
    <w:rPr>
      <w:position w:val="0"/>
      <w:sz w:val="22"/>
      <w:sz w:val="22"/>
      <w:vertAlign w:val="baseline"/>
    </w:rPr>
  </w:style>
  <w:style w:type="character" w:styleId="ListLabel9">
    <w:name w:val="ListLabel 9"/>
    <w:qFormat/>
    <w:rPr>
      <w:position w:val="0"/>
      <w:sz w:val="22"/>
      <w:sz w:val="22"/>
      <w:vertAlign w:val="baseline"/>
    </w:rPr>
  </w:style>
  <w:style w:type="character" w:styleId="ListLabel10">
    <w:name w:val="ListLabel 10"/>
    <w:qFormat/>
    <w:rPr>
      <w:rFonts w:ascii="Times New Roman" w:hAnsi="Times New Roman"/>
      <w:sz w:val="24"/>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Times New Roman" w:hAnsi="Times New Roman"/>
      <w:b/>
      <w:position w:val="0"/>
      <w:sz w:val="24"/>
      <w:sz w:val="24"/>
      <w:vertAlign w:val="baseline"/>
    </w:rPr>
  </w:style>
  <w:style w:type="character" w:styleId="ListLabel20">
    <w:name w:val="ListLabel 20"/>
    <w:qFormat/>
    <w:rPr>
      <w:position w:val="0"/>
      <w:sz w:val="22"/>
      <w:sz w:val="22"/>
      <w:vertAlign w:val="baseline"/>
    </w:rPr>
  </w:style>
  <w:style w:type="character" w:styleId="ListLabel21">
    <w:name w:val="ListLabel 21"/>
    <w:qFormat/>
    <w:rPr>
      <w:position w:val="0"/>
      <w:sz w:val="22"/>
      <w:sz w:val="22"/>
      <w:vertAlign w:val="baseline"/>
    </w:rPr>
  </w:style>
  <w:style w:type="character" w:styleId="ListLabel22">
    <w:name w:val="ListLabel 22"/>
    <w:qFormat/>
    <w:rPr>
      <w:position w:val="0"/>
      <w:sz w:val="22"/>
      <w:sz w:val="22"/>
      <w:vertAlign w:val="baseline"/>
    </w:rPr>
  </w:style>
  <w:style w:type="character" w:styleId="ListLabel23">
    <w:name w:val="ListLabel 23"/>
    <w:qFormat/>
    <w:rPr>
      <w:position w:val="0"/>
      <w:sz w:val="22"/>
      <w:sz w:val="22"/>
      <w:vertAlign w:val="baseline"/>
    </w:rPr>
  </w:style>
  <w:style w:type="character" w:styleId="ListLabel24">
    <w:name w:val="ListLabel 24"/>
    <w:qFormat/>
    <w:rPr>
      <w:position w:val="0"/>
      <w:sz w:val="22"/>
      <w:sz w:val="22"/>
      <w:vertAlign w:val="baseline"/>
    </w:rPr>
  </w:style>
  <w:style w:type="character" w:styleId="ListLabel25">
    <w:name w:val="ListLabel 25"/>
    <w:qFormat/>
    <w:rPr>
      <w:position w:val="0"/>
      <w:sz w:val="22"/>
      <w:sz w:val="22"/>
      <w:vertAlign w:val="baseline"/>
    </w:rPr>
  </w:style>
  <w:style w:type="character" w:styleId="ListLabel26">
    <w:name w:val="ListLabel 26"/>
    <w:qFormat/>
    <w:rPr>
      <w:position w:val="0"/>
      <w:sz w:val="22"/>
      <w:sz w:val="22"/>
      <w:vertAlign w:val="baseline"/>
    </w:rPr>
  </w:style>
  <w:style w:type="character" w:styleId="ListLabel27">
    <w:name w:val="ListLabel 27"/>
    <w:qFormat/>
    <w:rPr>
      <w:position w:val="0"/>
      <w:sz w:val="22"/>
      <w:sz w:val="22"/>
      <w:vertAlign w:val="baseline"/>
    </w:rPr>
  </w:style>
  <w:style w:type="character" w:styleId="ListLabel28">
    <w:name w:val="ListLabel 28"/>
    <w:qFormat/>
    <w:rPr>
      <w:rFonts w:ascii="Times New Roman" w:hAnsi="Times New Roman" w:cs="Wingdings"/>
      <w:sz w:val="24"/>
      <w:u w:val="none"/>
    </w:rPr>
  </w:style>
  <w:style w:type="character" w:styleId="ListLabel29">
    <w:name w:val="ListLabel 29"/>
    <w:qFormat/>
    <w:rPr>
      <w:rFonts w:cs="Wingdings 2"/>
      <w:u w:val="none"/>
    </w:rPr>
  </w:style>
  <w:style w:type="character" w:styleId="ListLabel30">
    <w:name w:val="ListLabel 30"/>
    <w:qFormat/>
    <w:rPr>
      <w:rFonts w:cs="OpenSymbol"/>
      <w:u w:val="none"/>
    </w:rPr>
  </w:style>
  <w:style w:type="character" w:styleId="ListLabel31">
    <w:name w:val="ListLabel 31"/>
    <w:qFormat/>
    <w:rPr>
      <w:rFonts w:cs="Wingdings"/>
      <w:u w:val="none"/>
    </w:rPr>
  </w:style>
  <w:style w:type="character" w:styleId="ListLabel32">
    <w:name w:val="ListLabel 32"/>
    <w:qFormat/>
    <w:rPr>
      <w:rFonts w:cs="Wingdings 2"/>
      <w:u w:val="none"/>
    </w:rPr>
  </w:style>
  <w:style w:type="character" w:styleId="ListLabel33">
    <w:name w:val="ListLabel 33"/>
    <w:qFormat/>
    <w:rPr>
      <w:rFonts w:cs="OpenSymbol"/>
      <w:u w:val="none"/>
    </w:rPr>
  </w:style>
  <w:style w:type="character" w:styleId="ListLabel34">
    <w:name w:val="ListLabel 34"/>
    <w:qFormat/>
    <w:rPr>
      <w:rFonts w:cs="Wingdings"/>
      <w:u w:val="none"/>
    </w:rPr>
  </w:style>
  <w:style w:type="character" w:styleId="ListLabel35">
    <w:name w:val="ListLabel 35"/>
    <w:qFormat/>
    <w:rPr>
      <w:rFonts w:cs="Wingdings 2"/>
      <w:u w:val="none"/>
    </w:rPr>
  </w:style>
  <w:style w:type="character" w:styleId="ListLabel36">
    <w:name w:val="ListLabel 36"/>
    <w:qFormat/>
    <w:rPr>
      <w:rFonts w:cs="OpenSymbol"/>
      <w:u w:val="none"/>
    </w:rPr>
  </w:style>
  <w:style w:type="character" w:styleId="ListLabel37">
    <w:name w:val="ListLabel 37"/>
    <w:qFormat/>
    <w:rPr>
      <w:rFonts w:ascii="Times New Roman" w:hAnsi="Times New Roman"/>
      <w:b/>
      <w:position w:val="0"/>
      <w:sz w:val="24"/>
      <w:sz w:val="24"/>
      <w:vertAlign w:val="baseline"/>
    </w:rPr>
  </w:style>
  <w:style w:type="character" w:styleId="ListLabel38">
    <w:name w:val="ListLabel 38"/>
    <w:qFormat/>
    <w:rPr>
      <w:position w:val="0"/>
      <w:sz w:val="22"/>
      <w:sz w:val="22"/>
      <w:vertAlign w:val="baseline"/>
    </w:rPr>
  </w:style>
  <w:style w:type="character" w:styleId="ListLabel39">
    <w:name w:val="ListLabel 39"/>
    <w:qFormat/>
    <w:rPr>
      <w:position w:val="0"/>
      <w:sz w:val="22"/>
      <w:sz w:val="22"/>
      <w:vertAlign w:val="baseline"/>
    </w:rPr>
  </w:style>
  <w:style w:type="character" w:styleId="ListLabel40">
    <w:name w:val="ListLabel 40"/>
    <w:qFormat/>
    <w:rPr>
      <w:position w:val="0"/>
      <w:sz w:val="22"/>
      <w:sz w:val="22"/>
      <w:vertAlign w:val="baseline"/>
    </w:rPr>
  </w:style>
  <w:style w:type="character" w:styleId="ListLabel41">
    <w:name w:val="ListLabel 41"/>
    <w:qFormat/>
    <w:rPr>
      <w:position w:val="0"/>
      <w:sz w:val="22"/>
      <w:sz w:val="22"/>
      <w:vertAlign w:val="baseline"/>
    </w:rPr>
  </w:style>
  <w:style w:type="character" w:styleId="ListLabel42">
    <w:name w:val="ListLabel 42"/>
    <w:qFormat/>
    <w:rPr>
      <w:position w:val="0"/>
      <w:sz w:val="22"/>
      <w:sz w:val="22"/>
      <w:vertAlign w:val="baseline"/>
    </w:rPr>
  </w:style>
  <w:style w:type="character" w:styleId="ListLabel43">
    <w:name w:val="ListLabel 43"/>
    <w:qFormat/>
    <w:rPr>
      <w:position w:val="0"/>
      <w:sz w:val="22"/>
      <w:sz w:val="22"/>
      <w:vertAlign w:val="baseline"/>
    </w:rPr>
  </w:style>
  <w:style w:type="character" w:styleId="ListLabel44">
    <w:name w:val="ListLabel 44"/>
    <w:qFormat/>
    <w:rPr>
      <w:position w:val="0"/>
      <w:sz w:val="22"/>
      <w:sz w:val="22"/>
      <w:vertAlign w:val="baseline"/>
    </w:rPr>
  </w:style>
  <w:style w:type="character" w:styleId="ListLabel45">
    <w:name w:val="ListLabel 45"/>
    <w:qFormat/>
    <w:rPr>
      <w:position w:val="0"/>
      <w:sz w:val="22"/>
      <w:sz w:val="22"/>
      <w:vertAlign w:val="baseline"/>
    </w:rPr>
  </w:style>
  <w:style w:type="character" w:styleId="ListLabel46">
    <w:name w:val="ListLabel 46"/>
    <w:qFormat/>
    <w:rPr>
      <w:rFonts w:ascii="Times New Roman" w:hAnsi="Times New Roman" w:cs="Wingdings"/>
      <w:sz w:val="24"/>
      <w:u w:val="none"/>
    </w:rPr>
  </w:style>
  <w:style w:type="character" w:styleId="ListLabel47">
    <w:name w:val="ListLabel 47"/>
    <w:qFormat/>
    <w:rPr>
      <w:rFonts w:cs="Wingdings 2"/>
      <w:u w:val="none"/>
    </w:rPr>
  </w:style>
  <w:style w:type="character" w:styleId="ListLabel48">
    <w:name w:val="ListLabel 48"/>
    <w:qFormat/>
    <w:rPr>
      <w:rFonts w:cs="OpenSymbol"/>
      <w:u w:val="none"/>
    </w:rPr>
  </w:style>
  <w:style w:type="character" w:styleId="ListLabel49">
    <w:name w:val="ListLabel 49"/>
    <w:qFormat/>
    <w:rPr>
      <w:rFonts w:cs="Wingdings"/>
      <w:u w:val="none"/>
    </w:rPr>
  </w:style>
  <w:style w:type="character" w:styleId="ListLabel50">
    <w:name w:val="ListLabel 50"/>
    <w:qFormat/>
    <w:rPr>
      <w:rFonts w:cs="Wingdings 2"/>
      <w:u w:val="none"/>
    </w:rPr>
  </w:style>
  <w:style w:type="character" w:styleId="ListLabel51">
    <w:name w:val="ListLabel 51"/>
    <w:qFormat/>
    <w:rPr>
      <w:rFonts w:cs="OpenSymbol"/>
      <w:u w:val="none"/>
    </w:rPr>
  </w:style>
  <w:style w:type="character" w:styleId="ListLabel52">
    <w:name w:val="ListLabel 52"/>
    <w:qFormat/>
    <w:rPr>
      <w:rFonts w:cs="Wingdings"/>
      <w:u w:val="none"/>
    </w:rPr>
  </w:style>
  <w:style w:type="character" w:styleId="ListLabel53">
    <w:name w:val="ListLabel 53"/>
    <w:qFormat/>
    <w:rPr>
      <w:rFonts w:cs="Wingdings 2"/>
      <w:u w:val="none"/>
    </w:rPr>
  </w:style>
  <w:style w:type="character" w:styleId="ListLabel54">
    <w:name w:val="ListLabel 54"/>
    <w:qFormat/>
    <w:rPr>
      <w:rFonts w:cs="OpenSymbol"/>
      <w:u w:val="none"/>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40" w:before="0" w:after="120"/>
      <w:jc w:val="both"/>
    </w:pPr>
    <w:rPr>
      <w:rFonts w:ascii="Times New Roman" w:hAnsi="Times New Roman" w:eastAsia="Times New Roman" w:cs="Times New Roman"/>
      <w:sz w:val="24"/>
      <w:szCs w:val="24"/>
      <w:lang w:val="uk-UA" w:eastAsia="uk-UA"/>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LOnormal" w:default="1">
    <w:name w:val="LO-normal"/>
    <w:qFormat/>
    <w:pPr>
      <w:widowControl/>
      <w:bidi w:val="0"/>
      <w:jc w:val="left"/>
    </w:pPr>
    <w:rPr>
      <w:rFonts w:ascii="Calibri" w:hAnsi="Calibri" w:eastAsia="Calibri" w:cs="Calibri"/>
      <w:color w:val="00000A"/>
      <w:kern w:val="0"/>
      <w:sz w:val="22"/>
      <w:szCs w:val="22"/>
      <w:lang w:val="ru-RU" w:eastAsia="zh-CN" w:bidi="hi-IN"/>
    </w:rPr>
  </w:style>
  <w:style w:type="paragraph" w:styleId="Style17">
    <w:name w:val="Title"/>
    <w:basedOn w:val="Normal"/>
    <w:next w:val="Normal"/>
    <w:qFormat/>
    <w:pPr>
      <w:spacing w:lineRule="auto" w:line="240" w:before="0" w:after="0"/>
      <w:contextualSpacing/>
    </w:pPr>
    <w:rPr>
      <w:rFonts w:ascii="Calibri Light" w:hAnsi="Calibri Light" w:eastAsia="Times New Roman" w:cs="Times New Roman"/>
      <w:spacing w:val="-10"/>
      <w:kern w:val="2"/>
      <w:sz w:val="56"/>
      <w:szCs w:val="56"/>
    </w:rPr>
  </w:style>
  <w:style w:type="paragraph" w:styleId="12" w:customStyle="1">
    <w:name w:val="Без интервала1"/>
    <w:qFormat/>
    <w:pPr>
      <w:widowControl/>
      <w:suppressAutoHyphens w:val="true"/>
      <w:bidi w:val="0"/>
      <w:spacing w:lineRule="atLeast" w:line="1"/>
      <w:ind w:left="-1" w:hanging="1"/>
      <w:jc w:val="left"/>
      <w:textAlignment w:val="top"/>
      <w:outlineLvl w:val="0"/>
    </w:pPr>
    <w:rPr>
      <w:rFonts w:ascii="Times New Roman" w:hAnsi="Times New Roman" w:eastAsia="Times New Roman" w:cs="Calibri"/>
      <w:color w:val="00000A"/>
      <w:kern w:val="0"/>
      <w:sz w:val="24"/>
      <w:szCs w:val="24"/>
      <w:lang w:val="ru-RU" w:eastAsia="zh-CN" w:bidi="hi-IN"/>
    </w:rPr>
  </w:style>
  <w:style w:type="paragraph" w:styleId="NoSpacing">
    <w:name w:val="No Spacing"/>
    <w:qFormat/>
    <w:pPr>
      <w:widowControl/>
      <w:suppressAutoHyphens w:val="true"/>
      <w:bidi w:val="0"/>
      <w:spacing w:lineRule="atLeast" w:line="1"/>
      <w:ind w:left="-1" w:hanging="1"/>
      <w:jc w:val="left"/>
      <w:textAlignment w:val="top"/>
      <w:outlineLvl w:val="0"/>
    </w:pPr>
    <w:rPr>
      <w:rFonts w:ascii="Calibri" w:hAnsi="Calibri" w:eastAsia="Calibri" w:cs="Calibri"/>
      <w:color w:val="00000A"/>
      <w:kern w:val="0"/>
      <w:sz w:val="22"/>
      <w:szCs w:val="22"/>
      <w:lang w:val="ru-RU" w:eastAsia="uk-UA" w:bidi="hi-IN"/>
    </w:rPr>
  </w:style>
  <w:style w:type="paragraph" w:styleId="22" w:customStyle="1">
    <w:name w:val="Абзац списка;Список уровня 2"/>
    <w:basedOn w:val="Normal"/>
    <w:qFormat/>
    <w:pPr>
      <w:spacing w:before="0" w:after="160"/>
      <w:ind w:left="720" w:hanging="1"/>
      <w:contextualSpacing/>
    </w:pPr>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13" w:customStyle="1">
    <w:name w:val="Обычный1"/>
    <w:qFormat/>
    <w:pPr>
      <w:widowControl/>
      <w:suppressAutoHyphens w:val="true"/>
      <w:bidi w:val="0"/>
      <w:spacing w:lineRule="auto" w:line="276"/>
      <w:ind w:left="-1" w:hanging="1"/>
      <w:jc w:val="left"/>
      <w:textAlignment w:val="top"/>
      <w:outlineLvl w:val="0"/>
    </w:pPr>
    <w:rPr>
      <w:rFonts w:ascii="Arial" w:hAnsi="Arial" w:eastAsia="Times New Roman" w:cs="Arial"/>
      <w:color w:val="000000"/>
      <w:kern w:val="0"/>
      <w:sz w:val="22"/>
      <w:szCs w:val="22"/>
      <w:lang w:val="ru-RU" w:eastAsia="zh-CN" w:bidi="hi-IN"/>
    </w:rPr>
  </w:style>
  <w:style w:type="paragraph" w:styleId="Style18">
    <w:name w:val="Subtitle"/>
    <w:basedOn w:val="LOnormal"/>
    <w:next w:val="Normal"/>
    <w:qFormat/>
    <w:pPr>
      <w:keepNext w:val="true"/>
      <w:keepLines/>
      <w:pageBreakBefore w:val="false"/>
      <w:widowControl/>
      <w:shd w:val="clear" w:fill="auto"/>
      <w:spacing w:lineRule="auto" w:line="259" w:before="360" w:after="80"/>
      <w:ind w:left="0" w:right="0" w:hanging="1"/>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aa">
    <w:name w:val="Table Grid"/>
    <w:basedOn w:val="a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a+CoMlrLQ/yCEjkmBTEnH9F8jyA==">AMUW2mWOhrIJR//DgofExZIViDDLTovBtILaeYo2hzvLDUKvQltgfgDs4WXiifnTaQFSOicrmQ0MpycP++JzbaDcZ9pqAlxib3SHy5qpkHLvaByX/nqQyz+5bn1Cd5r+KCs1VIzrpret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185</TotalTime>
  <Application>LibreOffice/5.4.4.2$Windows_x86 LibreOffice_project/2524958677847fb3bb44820e40380acbe820f960</Application>
  <Pages>3</Pages>
  <Words>712</Words>
  <Characters>4996</Characters>
  <CharactersWithSpaces>5680</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2020-09-30T09:32:00Z</dcterms:created>
  <dc:creator>userua12</dc:creator>
  <dc:description/>
  <dc:language>uk-UA</dc:language>
  <cp:lastModifiedBy/>
  <dcterms:modified xsi:type="dcterms:W3CDTF">2023-09-07T13:24:49Z</dcterms:modified>
  <cp:revision>5</cp:revision>
  <dc:subject/>
  <dc:title/>
</cp:coreProperties>
</file>