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0"/>
        <w:rPr/>
      </w:pPr>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rPr>
        <w:tab/>
        <w:tab/>
        <w:tab/>
        <w:tab/>
        <w:tab/>
        <w:tab/>
        <w:tab/>
        <w:t xml:space="preserve"> </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ind w:left="885" w:hanging="0"/>
        <w:jc w:val="center"/>
        <w:rPr>
          <w:rFonts w:ascii="Times New Roman" w:hAnsi="Times New Roman" w:eastAsia="Times New Roman" w:cs="Times New Roman"/>
          <w:color w:val="4472C4"/>
          <w:sz w:val="20"/>
          <w:szCs w:val="20"/>
        </w:rPr>
      </w:pPr>
      <w:r>
        <w:rPr>
          <w:rFonts w:eastAsia="Times New Roman" w:cs="Times New Roman" w:ascii="Times New Roman" w:hAnsi="Times New Roman"/>
          <w:color w:val="4472C4"/>
          <w:sz w:val="20"/>
          <w:szCs w:val="20"/>
        </w:rPr>
      </w:r>
    </w:p>
    <w:tbl>
      <w:tblPr>
        <w:tblStyle w:val="Table1"/>
        <w:tblW w:w="961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489"/>
        <w:gridCol w:w="2273"/>
        <w:gridCol w:w="6857"/>
      </w:tblGrid>
      <w:tr>
        <w:trPr>
          <w:trHeight w:val="690"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r>
              <w:rPr>
                <w:rFonts w:eastAsia="Times New Roman" w:cs="Times New Roman" w:ascii="Times New Roman" w:hAnsi="Times New Roman"/>
                <w:b/>
                <w:sz w:val="20"/>
                <w:szCs w:val="20"/>
              </w:rPr>
              <w:t>**</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які підтверджують відповідність Учасника кваліфікаційним критеріям*</w:t>
            </w:r>
          </w:p>
        </w:tc>
      </w:tr>
      <w:tr>
        <w:trPr>
          <w:trHeight w:val="2255"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Наявність фінансової спроможності***</w:t>
            </w:r>
          </w:p>
          <w:p>
            <w:pPr>
              <w:pStyle w:val="Normal"/>
              <w:spacing w:lineRule="auto" w:line="240" w:before="0" w:after="0"/>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both"/>
              <w:rPr/>
            </w:pPr>
            <w:r>
              <w:rPr>
                <w:rFonts w:eastAsia="Times New Roman" w:cs="Times New Roman" w:ascii="Times New Roman" w:hAnsi="Times New Roman"/>
                <w:sz w:val="20"/>
                <w:szCs w:val="20"/>
              </w:rPr>
              <w:t>1.1. На підтвердження фінансової спроможності учасник надає фінансову звітність за 20</w:t>
            </w:r>
            <w:r>
              <w:rPr>
                <w:rFonts w:eastAsia="Times New Roman" w:cs="Times New Roman" w:ascii="Times New Roman" w:hAnsi="Times New Roman"/>
                <w:sz w:val="20"/>
                <w:szCs w:val="20"/>
                <w:lang w:val="uk-UA"/>
              </w:rPr>
              <w:t>2</w:t>
            </w:r>
            <w:r>
              <w:rPr>
                <w:rFonts w:eastAsia="Times New Roman" w:cs="Times New Roman" w:ascii="Times New Roman" w:hAnsi="Times New Roman"/>
                <w:sz w:val="20"/>
                <w:szCs w:val="20"/>
                <w:lang w:val="uk-UA"/>
              </w:rPr>
              <w:t>0</w:t>
            </w:r>
            <w:r>
              <w:rPr>
                <w:rFonts w:eastAsia="Times New Roman" w:cs="Times New Roman" w:ascii="Times New Roman" w:hAnsi="Times New Roman"/>
                <w:sz w:val="20"/>
                <w:szCs w:val="20"/>
              </w:rPr>
              <w:t xml:space="preserve"> / 20</w:t>
            </w:r>
            <w:r>
              <w:rPr>
                <w:rFonts w:eastAsia="Times New Roman" w:cs="Times New Roman" w:ascii="Times New Roman" w:hAnsi="Times New Roman"/>
                <w:sz w:val="20"/>
                <w:szCs w:val="20"/>
                <w:lang w:val="uk-UA"/>
              </w:rPr>
              <w:t>2</w:t>
            </w:r>
            <w:r>
              <w:rPr>
                <w:rFonts w:eastAsia="Times New Roman" w:cs="Times New Roman" w:ascii="Times New Roman" w:hAnsi="Times New Roman"/>
                <w:sz w:val="20"/>
                <w:szCs w:val="20"/>
                <w:lang w:val="uk-UA"/>
              </w:rPr>
              <w:t>1</w:t>
            </w:r>
            <w:r>
              <w:rPr>
                <w:rFonts w:eastAsia="Times New Roman" w:cs="Times New Roman" w:ascii="Times New Roman" w:hAnsi="Times New Roman"/>
                <w:sz w:val="20"/>
                <w:szCs w:val="20"/>
              </w:rPr>
              <w:t xml:space="preserve"> рік .</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Звітним періодом для складання фінансової звітності є календарний рік.</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120" w:after="240"/>
        <w:ind w:firstLine="720"/>
        <w:jc w:val="both"/>
        <w:rPr>
          <w:rFonts w:ascii="Times New Roman" w:hAnsi="Times New Roman" w:eastAsia="Times New Roman" w:cs="Times New Roman"/>
          <w:sz w:val="20"/>
          <w:szCs w:val="20"/>
        </w:rPr>
      </w:pPr>
      <w:r>
        <w:rPr>
          <w:rFonts w:eastAsia="Times New Roman" w:cs="Times New Roman" w:ascii="Times New Roman" w:hAnsi="Times New Roman"/>
          <w:b/>
          <w:bCs/>
          <w:i/>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pPr>
        <w:pStyle w:val="Normal"/>
        <w:spacing w:lineRule="auto" w:line="240" w:before="20" w:after="20"/>
        <w:ind w:firstLine="7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 xml:space="preserve">м у пункті </w:t>
      </w:r>
      <w:r>
        <w:rPr>
          <w:rFonts w:eastAsia="Times New Roman" w:cs="Times New Roman" w:ascii="Times New Roman" w:hAnsi="Times New Roman"/>
          <w:b/>
          <w:color w:val="00B050"/>
          <w:highlight w:val="white"/>
        </w:rPr>
        <w:t>47</w:t>
      </w:r>
      <w:r>
        <w:rPr>
          <w:rFonts w:eastAsia="Times New Roman" w:cs="Times New Roman" w:ascii="Times New Roman" w:hAnsi="Times New Roman"/>
          <w:b/>
          <w:highlight w:val="white"/>
        </w:rPr>
        <w:t xml:space="preserve">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b/>
          <w:bCs/>
          <w:color w:val="000000"/>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0"/>
          <w:szCs w:val="20"/>
        </w:rPr>
      </w:pPr>
      <w:r>
        <w:rPr>
          <w:rFonts w:eastAsia="Times New Roman" w:cs="Times New Roman" w:ascii="Times New Roman" w:hAnsi="Times New Roman"/>
          <w:b/>
          <w:bCs/>
          <w:i/>
          <w:iCs/>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left="0" w:hanging="0"/>
        <w:jc w:val="both"/>
        <w:rPr>
          <w:rFonts w:ascii="Times New Roman" w:hAnsi="Times New Roman" w:eastAsia="Times New Roman" w:cs="Times New Roman"/>
          <w:color w:val="00B050"/>
        </w:rPr>
      </w:pPr>
      <w:r>
        <w:rPr>
          <w:rFonts w:eastAsia="Times New Roman" w:cs="Times New Roman" w:ascii="Times New Roman" w:hAnsi="Times New Roman"/>
          <w:color w:val="00B050"/>
        </w:rPr>
      </w:r>
    </w:p>
    <w:p>
      <w:pPr>
        <w:pStyle w:val="Normal"/>
        <w:widowControl w:val="false"/>
        <w:spacing w:lineRule="auto" w:line="240" w:before="0" w:after="0"/>
        <w:ind w:left="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jc w:val="both"/>
        <w:rPr>
          <w:rFonts w:ascii="Times New Roman" w:hAnsi="Times New Roman" w:eastAsia="Times New Roman" w:cs="Times New Roman"/>
          <w:b/>
          <w:b/>
          <w:highlight w:val="white"/>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w:t>
      </w:r>
      <w:r>
        <w:rPr>
          <w:rFonts w:eastAsia="Times New Roman" w:cs="Times New Roman" w:ascii="Times New Roman" w:hAnsi="Times New Roman"/>
          <w:b/>
          <w:highlight w:val="white"/>
        </w:rPr>
        <w:t xml:space="preserve">кті </w:t>
      </w:r>
      <w:r>
        <w:rPr>
          <w:rFonts w:eastAsia="Times New Roman" w:cs="Times New Roman" w:ascii="Times New Roman" w:hAnsi="Times New Roman"/>
          <w:b/>
          <w:bCs/>
          <w:color w:val="000000"/>
          <w:sz w:val="24"/>
          <w:szCs w:val="24"/>
          <w:highlight w:val="white"/>
        </w:rPr>
        <w:t>47</w:t>
      </w:r>
      <w:r>
        <w:rPr>
          <w:rFonts w:eastAsia="Times New Roman" w:cs="Times New Roman" w:ascii="Times New Roman" w:hAnsi="Times New Roman"/>
          <w:b/>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 </w:t>
      </w:r>
    </w:p>
    <w:p>
      <w:pPr>
        <w:pStyle w:val="Normal"/>
        <w:widowControl w:val="false"/>
        <w:spacing w:lineRule="auto" w:line="240" w:before="0" w:after="0"/>
        <w:ind w:firstLine="567"/>
        <w:jc w:val="both"/>
        <w:rPr>
          <w:rFonts w:ascii="Times New Roman" w:hAnsi="Times New Roman" w:eastAsia="Times New Roman" w:cs="Times New Roman"/>
          <w:b/>
          <w:b/>
        </w:rPr>
      </w:pPr>
      <w:r>
        <w:rPr>
          <w:rFonts w:eastAsia="Times New Roman" w:cs="Times New Roman" w:ascii="Times New Roman" w:hAnsi="Times New Roman"/>
          <w:b/>
          <w:b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w:t>
            </w:r>
            <w:bookmarkStart w:id="0" w:name="__DdeLink__261_4254916562"/>
            <w:r>
              <w:rPr>
                <w:rFonts w:eastAsia="Times New Roman" w:cs="Times New Roman" w:ascii="Times New Roman" w:hAnsi="Times New Roman"/>
                <w:b/>
                <w:color w:val="00B050"/>
                <w:sz w:val="20"/>
                <w:szCs w:val="20"/>
              </w:rPr>
              <w:t xml:space="preserve"> </w:t>
            </w:r>
            <w:r>
              <w:rPr>
                <w:rFonts w:eastAsia="Times New Roman" w:cs="Times New Roman" w:ascii="Times New Roman" w:hAnsi="Times New Roman"/>
                <w:b w:val="false"/>
                <w:bCs w:val="false"/>
                <w:color w:val="000000"/>
                <w:sz w:val="24"/>
                <w:szCs w:val="24"/>
              </w:rPr>
              <w:t>47</w:t>
            </w:r>
            <w:bookmarkEnd w:id="0"/>
            <w:r>
              <w:rPr>
                <w:rFonts w:eastAsia="Times New Roman" w:cs="Times New Roman" w:ascii="Times New Roman" w:hAnsi="Times New Roman"/>
                <w:b/>
                <w:sz w:val="20"/>
                <w:szCs w:val="20"/>
              </w:rPr>
              <w:t xml:space="preserve">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pPr>
            <w:r>
              <w:rPr>
                <w:rFonts w:eastAsia="Times New Roman" w:cs="Times New Roman" w:ascii="Times New Roman" w:hAnsi="Times New Roman"/>
                <w:b/>
                <w:sz w:val="20"/>
                <w:szCs w:val="20"/>
              </w:rPr>
              <w:t>Переможець торгів на виконання вимоги згідно п.</w:t>
            </w:r>
            <w:r>
              <w:rPr>
                <w:rFonts w:eastAsia="Times New Roman" w:cs="Times New Roman" w:ascii="Times New Roman" w:hAnsi="Times New Roman"/>
                <w:b/>
                <w:color w:val="00B050"/>
                <w:sz w:val="20"/>
                <w:szCs w:val="20"/>
              </w:rPr>
              <w:t xml:space="preserve">  </w:t>
            </w:r>
            <w:r>
              <w:rPr>
                <w:rFonts w:eastAsia="Times New Roman" w:cs="Times New Roman" w:ascii="Times New Roman" w:hAnsi="Times New Roman"/>
                <w:b w:val="false"/>
                <w:bCs w:val="false"/>
                <w:color w:val="000000"/>
                <w:sz w:val="24"/>
                <w:szCs w:val="24"/>
              </w:rPr>
              <w:t>47</w:t>
            </w:r>
            <w:r>
              <w:rPr>
                <w:rFonts w:eastAsia="Times New Roman" w:cs="Times New Roman" w:ascii="Times New Roman" w:hAnsi="Times New Roman"/>
                <w:b/>
                <w:sz w:val="20"/>
                <w:szCs w:val="20"/>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w:t>
            </w:r>
            <w:r>
              <w:rPr>
                <w:rFonts w:eastAsia="Times New Roman" w:cs="Times New Roman" w:ascii="Times New Roman" w:hAnsi="Times New Roman"/>
                <w:b/>
                <w:color w:val="000000"/>
                <w:sz w:val="20"/>
                <w:szCs w:val="20"/>
              </w:rPr>
              <w:t>т 47 Особл</w:t>
            </w:r>
            <w:r>
              <w:rPr>
                <w:rFonts w:eastAsia="Times New Roman" w:cs="Times New Roman" w:ascii="Times New Roman" w:hAnsi="Times New Roman"/>
                <w:b/>
                <w:sz w:val="20"/>
                <w:szCs w:val="20"/>
              </w:rPr>
              <w:t>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right="140" w:hanging="0"/>
              <w:jc w:val="both"/>
              <w:rPr>
                <w:rFonts w:ascii="Times New Roman" w:hAnsi="Times New Roman"/>
                <w:b/>
                <w:b/>
                <w:bCs/>
                <w:sz w:val="20"/>
                <w:szCs w:val="20"/>
              </w:rPr>
            </w:pPr>
            <w:r>
              <w:rPr>
                <w:rFonts w:eastAsia="Times New Roman" w:cs="Times New Roman" w:ascii="Times New Roman" w:hAnsi="Times New Roman"/>
                <w:b/>
                <w:bCs/>
                <w:sz w:val="20"/>
                <w:szCs w:val="20"/>
              </w:rPr>
              <w:t>*Інформаційна довідка з Єдиного державного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реєстру осіб, які вчинили корупційні або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пов’язані з корупцією правопорушення,</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згідно з якою не буде знайдено інформації</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про корупційні або пов&amp;#39;язані з корупцією</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правопорушення керівника учасника</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процедури закупівлі.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*Згідно з пунктом 47 Особливостей -</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Переможець процедури закупівлі у строк, що не</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перевищує чотири дні з дати оприлюднення в</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електронній системі закупівель повідомлення</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про намір укласти договір про закупівлю,</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повинен надати замовнику шляхом</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оприлюднення в електронній системі закупівель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документи, що підтверджують відсутність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підстав, зазначених у підпунктах 3, 5, 6 і 12 та</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в абзаці чотирнадцятому цього пункту.</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Згідно з підпунктом 3 пункту 44 Особливостей</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 Замовник відхиляє тендерну пропозицію із</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зазначенням аргументації в електронній</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системі закупівель у разі, коли переможець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процедури закупівлі не надав у спосіб,</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зазначений в тендерній документації,</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документи, що підтверджують відсутність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підстав, визначених у підпунктах 3, 5, 6 і 12 та</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Таким чином, Інформаційна довідка з Єдиного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державного реєстру осіб, які вчинили</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корупційні або пов’язані з корупцією</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правопорушення, згідно з якою не буде знайдено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інформації про корупційні або пов“язані з</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корупцією правопорушення керівника учасника</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процедури закупівлі, надається переможцем.</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w:t>
            </w:r>
            <w:r>
              <w:rPr>
                <w:rFonts w:eastAsia="Times New Roman" w:cs="Times New Roman" w:ascii="Times New Roman" w:hAnsi="Times New Roman"/>
                <w:b/>
                <w:bCs/>
                <w:color w:val="000000"/>
                <w:sz w:val="20"/>
                <w:szCs w:val="20"/>
              </w:rPr>
              <w:t xml:space="preserve"> 47 </w:t>
            </w:r>
            <w:r>
              <w:rPr>
                <w:rFonts w:eastAsia="Times New Roman" w:cs="Times New Roman" w:ascii="Times New Roman" w:hAnsi="Times New Roman"/>
                <w:b/>
                <w:sz w:val="20"/>
                <w:szCs w:val="20"/>
              </w:rPr>
              <w:t>Особливостей)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both"/>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процесуальним законодавством України щодо</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b/>
                <w:sz w:val="20"/>
                <w:szCs w:val="20"/>
              </w:rPr>
              <w:t>.</w:t>
            </w:r>
            <w:r>
              <w:rPr>
                <w:rFonts w:eastAsia="Times New Roman" w:cs="Times New Roman" w:ascii="Times New Roman" w:hAnsi="Times New Roman"/>
                <w:sz w:val="20"/>
                <w:szCs w:val="20"/>
              </w:rPr>
              <w:t> </w:t>
            </w:r>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w:t>
            </w:r>
            <w:r>
              <w:rPr>
                <w:rFonts w:eastAsia="Times New Roman" w:cs="Times New Roman" w:ascii="Times New Roman" w:hAnsi="Times New Roman"/>
                <w:b/>
                <w:color w:val="000000"/>
                <w:sz w:val="20"/>
                <w:szCs w:val="20"/>
              </w:rPr>
              <w:t xml:space="preserve"> 47 </w:t>
            </w:r>
            <w:r>
              <w:rPr>
                <w:rFonts w:eastAsia="Times New Roman" w:cs="Times New Roman" w:ascii="Times New Roman" w:hAnsi="Times New Roman"/>
                <w:b/>
                <w:sz w:val="20"/>
                <w:szCs w:val="20"/>
              </w:rPr>
              <w:t>Особливостей)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(абзац 14 пункт </w:t>
            </w:r>
            <w:r>
              <w:rPr>
                <w:rFonts w:eastAsia="Times New Roman" w:cs="Times New Roman" w:ascii="Times New Roman" w:hAnsi="Times New Roman"/>
                <w:b/>
                <w:color w:val="00B050"/>
                <w:sz w:val="20"/>
                <w:szCs w:val="20"/>
              </w:rPr>
              <w:t>47</w:t>
            </w:r>
            <w:r>
              <w:rPr>
                <w:rFonts w:eastAsia="Times New Roman" w:cs="Times New Roman" w:ascii="Times New Roman" w:hAnsi="Times New Roman"/>
                <w:b/>
                <w:sz w:val="20"/>
                <w:szCs w:val="20"/>
              </w:rPr>
              <w:t xml:space="preserve"> Особливостей)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584"/>
        <w:gridCol w:w="4427"/>
        <w:gridCol w:w="4608"/>
      </w:tblGrid>
      <w:tr>
        <w:trPr>
          <w:trHeight w:val="825" w:hRule="atLeast"/>
        </w:trPr>
        <w:tc>
          <w:tcPr>
            <w:tcW w:w="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з</w:t>
            </w:r>
            <w:r>
              <w:rPr>
                <w:rFonts w:eastAsia="Times New Roman" w:cs="Times New Roman" w:ascii="Times New Roman" w:hAnsi="Times New Roman"/>
                <w:b/>
                <w:sz w:val="20"/>
                <w:szCs w:val="20"/>
              </w:rPr>
              <w:t xml:space="preserve">гідно пункту </w:t>
            </w:r>
            <w:r>
              <w:rPr>
                <w:rFonts w:eastAsia="Times New Roman" w:cs="Times New Roman" w:ascii="Times New Roman" w:hAnsi="Times New Roman"/>
                <w:b/>
                <w:color w:val="000000"/>
                <w:sz w:val="20"/>
                <w:szCs w:val="20"/>
              </w:rPr>
              <w:t xml:space="preserve">47 </w:t>
            </w:r>
            <w:r>
              <w:rPr>
                <w:rFonts w:eastAsia="Times New Roman" w:cs="Times New Roman" w:ascii="Times New Roman" w:hAnsi="Times New Roman"/>
                <w:b/>
                <w:sz w:val="20"/>
                <w:szCs w:val="20"/>
              </w:rPr>
              <w:t>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w:t>
            </w:r>
            <w:r>
              <w:rPr>
                <w:rFonts w:eastAsia="Times New Roman" w:cs="Times New Roman" w:ascii="Times New Roman" w:hAnsi="Times New Roman"/>
                <w:b/>
                <w:color w:val="000000"/>
                <w:sz w:val="20"/>
                <w:szCs w:val="20"/>
              </w:rPr>
              <w:t>нкту 47 Особливостей (підтвердження відсутності підстав</w:t>
            </w:r>
            <w:r>
              <w:rPr>
                <w:rFonts w:eastAsia="Times New Roman" w:cs="Times New Roman" w:ascii="Times New Roman" w:hAnsi="Times New Roman"/>
                <w:b/>
                <w:sz w:val="20"/>
                <w:szCs w:val="20"/>
              </w:rPr>
              <w:t>) повинен надати таку інформацію:</w:t>
            </w:r>
          </w:p>
        </w:tc>
      </w:tr>
      <w:tr>
        <w:trPr>
          <w:trHeight w:val="1723" w:hRule="atLeast"/>
        </w:trPr>
        <w:tc>
          <w:tcPr>
            <w:tcW w:w="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w:t>
            </w:r>
            <w:r>
              <w:rPr>
                <w:rFonts w:eastAsia="Times New Roman" w:cs="Times New Roman" w:ascii="Times New Roman" w:hAnsi="Times New Roman"/>
                <w:b w:val="false"/>
                <w:bCs w:val="false"/>
                <w:color w:val="000000"/>
                <w:sz w:val="20"/>
                <w:szCs w:val="20"/>
              </w:rPr>
              <w:t>нк</w:t>
            </w:r>
            <w:r>
              <w:rPr>
                <w:rFonts w:eastAsia="Times New Roman" w:cs="Times New Roman" w:ascii="Times New Roman" w:hAnsi="Times New Roman"/>
                <w:b/>
                <w:bCs/>
                <w:color w:val="000000"/>
                <w:sz w:val="20"/>
                <w:szCs w:val="20"/>
              </w:rPr>
              <w:t>т 47 Особ</w:t>
            </w:r>
            <w:r>
              <w:rPr>
                <w:rFonts w:eastAsia="Times New Roman" w:cs="Times New Roman" w:ascii="Times New Roman" w:hAnsi="Times New Roman"/>
                <w:b/>
                <w:bCs/>
                <w:sz w:val="20"/>
                <w:szCs w:val="20"/>
              </w:rPr>
              <w:t>лив</w:t>
            </w:r>
            <w:r>
              <w:rPr>
                <w:rFonts w:eastAsia="Times New Roman" w:cs="Times New Roman" w:ascii="Times New Roman" w:hAnsi="Times New Roman"/>
                <w:b/>
                <w:sz w:val="20"/>
                <w:szCs w:val="20"/>
              </w:rPr>
              <w:t>остей)</w:t>
            </w:r>
          </w:p>
        </w:tc>
        <w:tc>
          <w:tcPr>
            <w:tcW w:w="4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right="140" w:hanging="0"/>
              <w:jc w:val="both"/>
              <w:rPr>
                <w:rFonts w:ascii="Times New Roman" w:hAnsi="Times New Roman"/>
                <w:b/>
                <w:b/>
                <w:bCs/>
                <w:sz w:val="20"/>
                <w:szCs w:val="20"/>
              </w:rPr>
            </w:pPr>
            <w:r>
              <w:rPr>
                <w:rFonts w:eastAsia="Times New Roman" w:cs="Times New Roman" w:ascii="Times New Roman" w:hAnsi="Times New Roman"/>
                <w:b/>
                <w:bCs/>
                <w:sz w:val="20"/>
                <w:szCs w:val="20"/>
              </w:rPr>
              <w:t>* Інформаційна довідка з Єдиного державного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реєстру осіб, які вчинили корупційні або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пов’язані з корупцією правопорушення, згідно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з якою не буде знайдено інформації про</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корупційні або пов“язані з корупцією</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правопорушення фізичної особи, яка є</w:t>
            </w:r>
          </w:p>
          <w:p>
            <w:pPr>
              <w:pStyle w:val="Normal"/>
              <w:spacing w:lineRule="auto" w:line="240" w:before="0" w:after="0"/>
              <w:ind w:right="140" w:hanging="0"/>
              <w:jc w:val="both"/>
              <w:rPr>
                <w:rFonts w:ascii="Times New Roman" w:hAnsi="Times New Roman"/>
                <w:b/>
                <w:b/>
                <w:bCs/>
                <w:sz w:val="20"/>
                <w:szCs w:val="20"/>
              </w:rPr>
            </w:pPr>
            <w:r>
              <w:rPr>
                <w:rFonts w:ascii="Times New Roman" w:hAnsi="Times New Roman"/>
                <w:b/>
                <w:bCs/>
                <w:sz w:val="20"/>
                <w:szCs w:val="20"/>
              </w:rPr>
              <w:t>учасником процедури закупівлі.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*Згідно з пунктом 47 Особливостей -</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Переможець процедури закупівлі у строк, що не</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перевищує чотири дні з дати оприлюднення в</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підтверджують відсутність підстав,</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зазначених у підпунктах 3, 5, 6 і 12 та в абзаці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чотирнадцятому цього пункту.</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Згідно з підпунктом 3 пункту 44 Особливостей -</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Замовник відхиляє тендерну пропозицію із</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зазначенням аргументації в електронній системі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закупівель у разі, коли переможець процедури</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закупівлі не надав у спосіб, зазначений в</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тендерній документації, документи, що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підтверджують відсутність підстав,</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визначених у підпунктах 3, 5, 6 і 12 та в абзаці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чотирнадцятому пункту 47 Особливостей.</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 04.09.2023 р. Національне агентство з питань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запобігання корупції (НАЗК) відкрило доступ до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Реєстру осіб, які вчинили корупційні та пов’язані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 корупцією правопорушення, з урахуванням</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безпекових аспектів. Проте згідно з постановою</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КМУ від 12.03.2022 р. № 263, яка</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застосовується до припинення чи скасування</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воєнного стану, інформаційні, інформаційно-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комунікаційні та електронні комунікаційні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системи, публічні електронні реєстри можуть</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як зупиняти, обмежувати свою роботу, так і</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відкриватись, поновлюватись у період воєнного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стану.</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Таким чином, Інформаційна довідка з Єдиного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державного реєстру осіб, які вчинили корупційні</w:t>
            </w:r>
          </w:p>
          <w:p>
            <w:pPr>
              <w:pStyle w:val="Normal"/>
              <w:spacing w:lineRule="auto" w:line="240" w:before="0" w:after="0"/>
              <w:ind w:right="140" w:hanging="0"/>
              <w:jc w:val="both"/>
              <w:rPr>
                <w:rFonts w:ascii="Times New Roman" w:hAnsi="Times New Roman"/>
                <w:sz w:val="20"/>
                <w:szCs w:val="20"/>
              </w:rPr>
            </w:pPr>
            <w:r>
              <w:rPr>
                <w:rFonts w:ascii="Times New Roman" w:hAnsi="Times New Roman"/>
                <w:i/>
                <w:iCs/>
                <w:sz w:val="20"/>
                <w:szCs w:val="20"/>
              </w:rPr>
              <w:t>або пов’язані з корупцією правопорушення,</w:t>
            </w:r>
            <w:r>
              <w:rPr>
                <w:rFonts w:ascii="Times New Roman" w:hAnsi="Times New Roman"/>
                <w:sz w:val="20"/>
                <w:szCs w:val="20"/>
              </w:rPr>
              <w:t xml:space="preserve"> </w:t>
            </w:r>
            <w:r>
              <w:rPr>
                <w:rFonts w:ascii="Times New Roman" w:hAnsi="Times New Roman"/>
                <w:i/>
                <w:iCs/>
                <w:sz w:val="20"/>
                <w:szCs w:val="20"/>
              </w:rPr>
              <w:t>згідно з якою не буде знайдено інформації про</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корупційні або пов“язані з корупцією</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правопорушення фізичної особи, яка є учасником</w:t>
            </w:r>
          </w:p>
          <w:p>
            <w:pPr>
              <w:pStyle w:val="Normal"/>
              <w:spacing w:lineRule="auto" w:line="240" w:before="0" w:after="0"/>
              <w:ind w:right="140" w:hanging="0"/>
              <w:jc w:val="both"/>
              <w:rPr>
                <w:rFonts w:ascii="Times New Roman" w:hAnsi="Times New Roman"/>
                <w:i/>
                <w:i/>
                <w:iCs/>
                <w:sz w:val="20"/>
                <w:szCs w:val="20"/>
              </w:rPr>
            </w:pPr>
            <w:r>
              <w:rPr>
                <w:rFonts w:ascii="Times New Roman" w:hAnsi="Times New Roman"/>
                <w:i/>
                <w:iCs/>
                <w:sz w:val="20"/>
                <w:szCs w:val="20"/>
              </w:rPr>
              <w:t>процедури закупівлі, надається переможцем.</w:t>
            </w:r>
          </w:p>
        </w:tc>
      </w:tr>
      <w:tr>
        <w:trPr>
          <w:trHeight w:val="2152" w:hRule="atLeast"/>
        </w:trPr>
        <w:tc>
          <w:tcPr>
            <w:tcW w:w="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5 пун</w:t>
            </w:r>
            <w:r>
              <w:rPr>
                <w:rFonts w:eastAsia="Times New Roman" w:cs="Times New Roman" w:ascii="Times New Roman" w:hAnsi="Times New Roman"/>
                <w:b/>
                <w:color w:val="000000"/>
                <w:sz w:val="20"/>
                <w:szCs w:val="20"/>
              </w:rPr>
              <w:t>кт 47 Ос</w:t>
            </w:r>
            <w:r>
              <w:rPr>
                <w:rFonts w:eastAsia="Times New Roman" w:cs="Times New Roman" w:ascii="Times New Roman" w:hAnsi="Times New Roman"/>
                <w:b/>
                <w:sz w:val="20"/>
                <w:szCs w:val="20"/>
              </w:rPr>
              <w:t>обливостей)</w:t>
            </w:r>
          </w:p>
        </w:tc>
        <w:tc>
          <w:tcPr>
            <w:tcW w:w="460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both"/>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635" w:hRule="atLeast"/>
        </w:trPr>
        <w:tc>
          <w:tcPr>
            <w:tcW w:w="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(підпункт 12 пун</w:t>
            </w:r>
            <w:r>
              <w:rPr>
                <w:rFonts w:eastAsia="Times New Roman" w:cs="Times New Roman" w:ascii="Times New Roman" w:hAnsi="Times New Roman"/>
                <w:b/>
                <w:bCs/>
                <w:color w:val="000000"/>
                <w:sz w:val="20"/>
                <w:szCs w:val="20"/>
              </w:rPr>
              <w:t>кт 47 Особл</w:t>
            </w:r>
            <w:r>
              <w:rPr>
                <w:rFonts w:eastAsia="Times New Roman" w:cs="Times New Roman" w:ascii="Times New Roman" w:hAnsi="Times New Roman"/>
                <w:b/>
                <w:sz w:val="20"/>
                <w:szCs w:val="20"/>
              </w:rPr>
              <w:t>ивостей)</w:t>
            </w:r>
          </w:p>
        </w:tc>
        <w:tc>
          <w:tcPr>
            <w:tcW w:w="460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 xml:space="preserve">(абзац 14 пункт </w:t>
            </w:r>
            <w:r>
              <w:rPr>
                <w:rFonts w:eastAsia="Times New Roman" w:cs="Times New Roman" w:ascii="Times New Roman" w:hAnsi="Times New Roman"/>
                <w:b/>
                <w:color w:val="000000"/>
                <w:sz w:val="20"/>
                <w:szCs w:val="20"/>
              </w:rPr>
              <w:t xml:space="preserve">47 </w:t>
            </w:r>
            <w:r>
              <w:rPr>
                <w:rFonts w:eastAsia="Times New Roman" w:cs="Times New Roman" w:ascii="Times New Roman" w:hAnsi="Times New Roman"/>
                <w:b/>
                <w:sz w:val="20"/>
                <w:szCs w:val="20"/>
              </w:rPr>
              <w:t>Особливостей)</w:t>
            </w:r>
          </w:p>
        </w:tc>
        <w:tc>
          <w:tcPr>
            <w:tcW w:w="4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r>
        <w:rPr>
          <w:rFonts w:eastAsia="Times New Roman" w:cs="Times New Roman" w:ascii="Times New Roman" w:hAnsi="Times New Roman"/>
          <w:b/>
          <w:sz w:val="20"/>
          <w:szCs w:val="20"/>
        </w:rPr>
        <w:t>:</w:t>
      </w:r>
    </w:p>
    <w:p>
      <w:pPr>
        <w:pStyle w:val="Normal"/>
        <w:shd w:val="clear" w:fill="FFFFFF"/>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Table4"/>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CC" w:val="clear"/>
            <w:tcMar>
              <w:left w:w="7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795"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16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32</TotalTime>
  <Application>LibreOffice/5.4.4.2$Windows_x86 LibreOffice_project/2524958677847fb3bb44820e40380acbe820f960</Application>
  <Pages>5</Pages>
  <Words>1958</Words>
  <Characters>13261</Characters>
  <CharactersWithSpaces>15124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2023-09-07T13:33:24Z</dcterms:modified>
  <cp:revision>4</cp:revision>
  <dc:subject/>
  <dc:title/>
</cp:coreProperties>
</file>