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EB7A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1C83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І.</w:t>
      </w:r>
      <w:r w:rsidRPr="0014262B">
        <w:rPr>
          <w:rFonts w:ascii="Times New Roman" w:hAnsi="Times New Roman" w:cs="Times New Roman"/>
          <w:sz w:val="20"/>
          <w:szCs w:val="20"/>
        </w:rPr>
        <w:t xml:space="preserve"> </w:t>
      </w:r>
      <w:r w:rsidRPr="0014262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70FBCC6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14262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4262B" w:rsidRPr="0014262B" w14:paraId="147C24DB" w14:textId="77777777" w:rsidTr="00345360">
        <w:trPr>
          <w:jc w:val="center"/>
        </w:trPr>
        <w:tc>
          <w:tcPr>
            <w:tcW w:w="562" w:type="dxa"/>
            <w:vAlign w:val="center"/>
          </w:tcPr>
          <w:p w14:paraId="06DEBD55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A1214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2B7117E" w14:textId="77777777" w:rsidR="00F55AAD" w:rsidRPr="0014262B" w:rsidRDefault="00F55AAD" w:rsidP="00345360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1426D2E3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0750636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14262B" w:rsidRPr="0014262B" w14:paraId="5CEE3B79" w14:textId="77777777" w:rsidTr="00345360">
        <w:trPr>
          <w:jc w:val="center"/>
        </w:trPr>
        <w:tc>
          <w:tcPr>
            <w:tcW w:w="562" w:type="dxa"/>
          </w:tcPr>
          <w:p w14:paraId="799E93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539B68DD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C12CF90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14:paraId="48B182A8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4262B" w:rsidRPr="0014262B" w14:paraId="3760F631" w14:textId="77777777" w:rsidTr="00345360">
        <w:trPr>
          <w:jc w:val="center"/>
        </w:trPr>
        <w:tc>
          <w:tcPr>
            <w:tcW w:w="562" w:type="dxa"/>
          </w:tcPr>
          <w:p w14:paraId="3A6C85FF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705D56D5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D9295B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146B30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507E59C6" w14:textId="1D691EED" w:rsidR="005167CE" w:rsidRPr="0014262B" w:rsidRDefault="00091EE8" w:rsidP="005167CE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7CE" w:rsidRPr="0014262B">
        <w:rPr>
          <w:rFonts w:ascii="Times New Roman" w:hAnsi="Times New Roman" w:cs="Times New Roman"/>
          <w:sz w:val="20"/>
          <w:szCs w:val="20"/>
        </w:rPr>
        <w:t>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1628399A" w14:textId="77777777" w:rsidR="00F55AAD" w:rsidRPr="0014262B" w:rsidRDefault="00F55AAD" w:rsidP="00F55A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036778E" w14:textId="77777777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4962"/>
      </w:tblGrid>
      <w:tr w:rsidR="0014262B" w:rsidRPr="0014262B" w14:paraId="0A1424C2" w14:textId="77777777" w:rsidTr="00F857FE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54F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6C7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C87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812" w14:textId="2A6807A5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Власні/залучені</w:t>
            </w:r>
          </w:p>
        </w:tc>
      </w:tr>
      <w:tr w:rsidR="0014262B" w:rsidRPr="0014262B" w14:paraId="1F262691" w14:textId="77777777" w:rsidTr="00942FC1">
        <w:trPr>
          <w:trHeight w:val="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E44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B7D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A82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D56" w14:textId="30BC2B9A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15A258DA" w14:textId="3F30343B" w:rsidR="00F55AAD" w:rsidRPr="0014262B" w:rsidRDefault="00091EE8" w:rsidP="00F55AA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7CE" w:rsidRPr="0014262B">
        <w:rPr>
          <w:rFonts w:ascii="Times New Roman" w:hAnsi="Times New Roman" w:cs="Times New Roman"/>
          <w:sz w:val="20"/>
          <w:szCs w:val="20"/>
        </w:rPr>
        <w:t xml:space="preserve">. </w:t>
      </w:r>
      <w:r w:rsidR="00F55AAD" w:rsidRPr="0014262B">
        <w:rPr>
          <w:rFonts w:ascii="Times New Roman" w:hAnsi="Times New Roman" w:cs="Times New Roman"/>
          <w:sz w:val="20"/>
          <w:szCs w:val="20"/>
        </w:rPr>
        <w:t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</w:t>
      </w:r>
      <w:r w:rsidR="00EE5776">
        <w:rPr>
          <w:rFonts w:ascii="Times New Roman" w:hAnsi="Times New Roman" w:cs="Times New Roman"/>
          <w:sz w:val="20"/>
          <w:szCs w:val="20"/>
        </w:rPr>
        <w:t>ю</w:t>
      </w:r>
      <w:r w:rsidR="00F55AAD" w:rsidRPr="0014262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46E2088" w14:textId="65E9D975" w:rsidR="005167CE" w:rsidRPr="0014262B" w:rsidRDefault="005167CE" w:rsidP="005167CE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Посвідчення про перевірку знань з питань охорони праці, чинн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ого </w:t>
      </w:r>
      <w:r w:rsidRPr="0014262B">
        <w:rPr>
          <w:rFonts w:ascii="Times New Roman" w:hAnsi="Times New Roman"/>
          <w:sz w:val="20"/>
          <w:szCs w:val="20"/>
          <w:lang w:val="uk-UA"/>
        </w:rPr>
        <w:t>на дату подання тендерної пропозиції директора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 або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 xml:space="preserve"> головного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414C2" w:rsidRPr="0014262B">
        <w:rPr>
          <w:rFonts w:ascii="Times New Roman" w:hAnsi="Times New Roman"/>
          <w:sz w:val="20"/>
          <w:szCs w:val="20"/>
          <w:lang w:val="uk-UA"/>
        </w:rPr>
        <w:t>інженера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інженера з охорони праці,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14262B">
        <w:rPr>
          <w:rFonts w:ascii="Times New Roman" w:hAnsi="Times New Roman"/>
          <w:sz w:val="20"/>
          <w:szCs w:val="20"/>
          <w:lang w:val="uk-UA"/>
        </w:rPr>
        <w:t>виконавця робіт</w:t>
      </w:r>
      <w:r w:rsidR="00091EE8">
        <w:rPr>
          <w:rFonts w:ascii="Times New Roman" w:hAnsi="Times New Roman"/>
          <w:sz w:val="20"/>
          <w:szCs w:val="20"/>
          <w:lang w:val="uk-UA"/>
        </w:rPr>
        <w:t>, або майстра</w:t>
      </w:r>
      <w:r w:rsidRPr="0014262B">
        <w:rPr>
          <w:rFonts w:ascii="Times New Roman" w:hAnsi="Times New Roman"/>
          <w:sz w:val="20"/>
          <w:szCs w:val="20"/>
          <w:lang w:val="uk-UA"/>
        </w:rPr>
        <w:t>.</w:t>
      </w:r>
    </w:p>
    <w:p w14:paraId="497E14BB" w14:textId="77490EA1" w:rsidR="00483DB2" w:rsidRPr="0014262B" w:rsidRDefault="00EE5776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2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BD4B99" w:rsidRPr="00BD4B99">
        <w:rPr>
          <w:rFonts w:ascii="Times New Roman" w:hAnsi="Times New Roman"/>
          <w:bCs/>
          <w:sz w:val="20"/>
          <w:szCs w:val="20"/>
          <w:lang w:val="uk-UA"/>
        </w:rPr>
        <w:t>З метою своєчасного виконання всього об’єму робіт на об’єкті учасник повинен мати в штаті не менше 12 осіб. Наявність працівників підтверджується Податковим розрахунком (витягом з нього)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ІІ або ІІІ квартал 2023 року або Звітом із праці за ІІ або ІІІ квартал 2023 року, або вересень 2023 року</w:t>
      </w:r>
      <w:r w:rsidR="00BD4B99">
        <w:rPr>
          <w:rFonts w:ascii="Times New Roman" w:hAnsi="Times New Roman"/>
          <w:bCs/>
          <w:sz w:val="20"/>
          <w:szCs w:val="20"/>
          <w:lang w:val="uk-UA"/>
        </w:rPr>
        <w:t>.</w:t>
      </w:r>
    </w:p>
    <w:p w14:paraId="3AFD51DD" w14:textId="77777777" w:rsidR="00F55AAD" w:rsidRPr="0014262B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33A6247" w14:textId="5FA44B53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ІІІ.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документально підтвердженого досвіду виконання аналогічн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 xml:space="preserve"> за предметом закупівлі договор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024"/>
        <w:gridCol w:w="2247"/>
        <w:gridCol w:w="1290"/>
        <w:gridCol w:w="1340"/>
        <w:gridCol w:w="1215"/>
      </w:tblGrid>
      <w:tr w:rsidR="0014262B" w:rsidRPr="0014262B" w14:paraId="64AA0F41" w14:textId="77777777" w:rsidTr="00EE5776">
        <w:trPr>
          <w:trHeight w:val="162"/>
        </w:trPr>
        <w:tc>
          <w:tcPr>
            <w:tcW w:w="468" w:type="dxa"/>
          </w:tcPr>
          <w:p w14:paraId="11D913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024" w:type="dxa"/>
          </w:tcPr>
          <w:p w14:paraId="4FC2DB2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замовника, його адреса, </w:t>
            </w:r>
          </w:p>
          <w:p w14:paraId="015E4D86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2247" w:type="dxa"/>
          </w:tcPr>
          <w:p w14:paraId="19D0C5C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14:paraId="7941252F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533C6E00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5054EA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 виконання</w:t>
            </w:r>
          </w:p>
        </w:tc>
      </w:tr>
      <w:tr w:rsidR="0014262B" w:rsidRPr="0014262B" w14:paraId="4EF76781" w14:textId="77777777" w:rsidTr="00EE5776">
        <w:trPr>
          <w:trHeight w:val="263"/>
        </w:trPr>
        <w:tc>
          <w:tcPr>
            <w:tcW w:w="468" w:type="dxa"/>
          </w:tcPr>
          <w:p w14:paraId="6B181132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24" w:type="dxa"/>
          </w:tcPr>
          <w:p w14:paraId="15588A2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</w:tcPr>
          <w:p w14:paraId="00B9A01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14:paraId="6C40421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</w:tcPr>
          <w:p w14:paraId="78353A9C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</w:tcPr>
          <w:p w14:paraId="2D16639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15A64EF" w14:textId="4EE9A71F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1. На підтвердження інформації зазначеної у довідці учасник надає:</w:t>
      </w:r>
    </w:p>
    <w:p w14:paraId="23DEE497" w14:textId="112B7413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 копії аналогічн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у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підряду*(без додатків та додаткових угод);</w:t>
      </w:r>
    </w:p>
    <w:p w14:paraId="38F43E70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0D0C1067" w14:textId="6E2D5160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а) проміжний або останній акт форми КБ-2 із підписами та печатками замовника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та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підрядника;</w:t>
      </w:r>
    </w:p>
    <w:p w14:paraId="22DDFE5C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б) проміжна або остання довідка за формою №КБ-3 із підписами та печатками Замовника;</w:t>
      </w:r>
    </w:p>
    <w:p w14:paraId="3973D914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в) відгук від замовника будівництва, що виданий не раніше дати оголошення даної закупівлі, який підтверджує факт виконання наданого у складі тендерної пропозиції договору. </w:t>
      </w:r>
    </w:p>
    <w:p w14:paraId="2C5B9CF3" w14:textId="02D425C8" w:rsidR="00483DB2" w:rsidRDefault="00483DB2" w:rsidP="00483DB2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* Під аналогічним договором згідно умов тендерної документації необхідно розуміти договір щодо виконання робіт із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будівництва (нового будівництва)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або реконструкції, або капітального ремонту, який передбачав утеплення фасаду або виконання робіт із енергозб</w:t>
      </w:r>
      <w:r w:rsidR="00414F48">
        <w:rPr>
          <w:rFonts w:ascii="Times New Roman" w:hAnsi="Times New Roman"/>
          <w:sz w:val="20"/>
          <w:szCs w:val="20"/>
          <w:lang w:val="uk-UA"/>
        </w:rPr>
        <w:t>ереження.</w:t>
      </w:r>
    </w:p>
    <w:p w14:paraId="1FBA0C5A" w14:textId="1744A825" w:rsidR="00414F48" w:rsidRPr="0014262B" w:rsidRDefault="00414F48" w:rsidP="00414F48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2. Учасник закупівлі повинен підтвердити обсяг виконаних (реалізованих) будівельно – монтажних робіт за 2022 рік в обсязі не менше 5 млн. грн. (на підтвердження надати звітність за формою № 1-кб (місячна) із підтверджуючою інформацією про отримання вказаної звітності уповноваженим органом).</w:t>
      </w:r>
    </w:p>
    <w:p w14:paraId="5357CC0F" w14:textId="77777777" w:rsidR="00210AF2" w:rsidRPr="0014262B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461D7B6" w14:textId="77777777" w:rsidR="00210AF2" w:rsidRPr="0014262B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9FED8D0" w14:textId="6A3C3FA0" w:rsidR="00483DB2" w:rsidRPr="0014262B" w:rsidRDefault="00483DB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І</w:t>
      </w:r>
      <w:r w:rsidRPr="0014262B">
        <w:rPr>
          <w:rFonts w:ascii="Times New Roman" w:hAnsi="Times New Roman"/>
          <w:sz w:val="20"/>
          <w:szCs w:val="20"/>
          <w:lang w:val="en-US"/>
        </w:rPr>
        <w:t>V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фінансової спроможності</w:t>
      </w:r>
    </w:p>
    <w:p w14:paraId="00D07E4E" w14:textId="1EC1F9D6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Обсяг чистого доходу від реалізації продукції (товарів, робіт, послуг) учасника за 2022 рік повинен становити не менше </w:t>
      </w:r>
      <w:r w:rsidR="00942E43">
        <w:rPr>
          <w:rFonts w:ascii="Times New Roman" w:hAnsi="Times New Roman"/>
          <w:sz w:val="20"/>
          <w:szCs w:val="20"/>
          <w:lang w:val="uk-UA"/>
        </w:rPr>
        <w:t>3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млн грн</w:t>
      </w:r>
      <w:r w:rsidRPr="0014262B">
        <w:rPr>
          <w:rFonts w:ascii="Times New Roman" w:hAnsi="Times New Roman"/>
          <w:sz w:val="20"/>
          <w:szCs w:val="20"/>
          <w:lang w:val="uk-UA"/>
        </w:rPr>
        <w:t>. Чистий дохід від реалізації продукції (товарів, робіт, послуг) за 2022 рік підтверджується наступними документами:</w:t>
      </w:r>
    </w:p>
    <w:p w14:paraId="598A2889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2442047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13B0F48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06A1056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A5A1D82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1E2AE82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6F1A126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6404C76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7BC2254D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lastRenderedPageBreak/>
        <w:t>Для Учасників – фізичних осіб-підприємців — копії Декларації про доходи, одержані за останній звітний період (проміжний). (форма № 1);</w:t>
      </w:r>
    </w:p>
    <w:p w14:paraId="621E0464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або копія звіту суб`єкта малого підприємництва – фізичної особи-платника єдиного податку за останній звітний період (проміжний), якщо Учасник платник єдиного податку.</w:t>
      </w:r>
    </w:p>
    <w:p w14:paraId="349B4F4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453C9C8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483DB2" w:rsidRPr="0014262B" w:rsidSect="00C12AC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2975">
    <w:abstractNumId w:val="4"/>
  </w:num>
  <w:num w:numId="2" w16cid:durableId="1440300576">
    <w:abstractNumId w:val="0"/>
  </w:num>
  <w:num w:numId="3" w16cid:durableId="292713584">
    <w:abstractNumId w:val="2"/>
  </w:num>
  <w:num w:numId="4" w16cid:durableId="2026705872">
    <w:abstractNumId w:val="1"/>
  </w:num>
  <w:num w:numId="5" w16cid:durableId="1156923085">
    <w:abstractNumId w:val="5"/>
  </w:num>
  <w:num w:numId="6" w16cid:durableId="644503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4138C"/>
    <w:rsid w:val="00071131"/>
    <w:rsid w:val="000818E6"/>
    <w:rsid w:val="00091EE8"/>
    <w:rsid w:val="00101F5B"/>
    <w:rsid w:val="0011224F"/>
    <w:rsid w:val="0014262B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14F48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906E4"/>
    <w:rsid w:val="006A257F"/>
    <w:rsid w:val="006C7404"/>
    <w:rsid w:val="006D223E"/>
    <w:rsid w:val="006E67DC"/>
    <w:rsid w:val="006F0530"/>
    <w:rsid w:val="006F53B3"/>
    <w:rsid w:val="00710173"/>
    <w:rsid w:val="00732445"/>
    <w:rsid w:val="00776393"/>
    <w:rsid w:val="007877D7"/>
    <w:rsid w:val="00791EB2"/>
    <w:rsid w:val="00797466"/>
    <w:rsid w:val="007D1B09"/>
    <w:rsid w:val="007D4719"/>
    <w:rsid w:val="007E5656"/>
    <w:rsid w:val="007E713F"/>
    <w:rsid w:val="007F2A2C"/>
    <w:rsid w:val="0080213D"/>
    <w:rsid w:val="008339E9"/>
    <w:rsid w:val="00842519"/>
    <w:rsid w:val="008563E3"/>
    <w:rsid w:val="008750BC"/>
    <w:rsid w:val="008C656A"/>
    <w:rsid w:val="00923CDA"/>
    <w:rsid w:val="00927477"/>
    <w:rsid w:val="00931DC0"/>
    <w:rsid w:val="00942E43"/>
    <w:rsid w:val="00951A9F"/>
    <w:rsid w:val="009565E4"/>
    <w:rsid w:val="00975971"/>
    <w:rsid w:val="009C1A20"/>
    <w:rsid w:val="00A65191"/>
    <w:rsid w:val="00A85D3B"/>
    <w:rsid w:val="00A94FFC"/>
    <w:rsid w:val="00AD25CA"/>
    <w:rsid w:val="00B00821"/>
    <w:rsid w:val="00B01CED"/>
    <w:rsid w:val="00B052A3"/>
    <w:rsid w:val="00B94F61"/>
    <w:rsid w:val="00BA6B94"/>
    <w:rsid w:val="00BD4B99"/>
    <w:rsid w:val="00BF58B0"/>
    <w:rsid w:val="00C11538"/>
    <w:rsid w:val="00C12AC1"/>
    <w:rsid w:val="00C414C2"/>
    <w:rsid w:val="00C466B9"/>
    <w:rsid w:val="00C70738"/>
    <w:rsid w:val="00CA6FCC"/>
    <w:rsid w:val="00CD7C08"/>
    <w:rsid w:val="00CE3D40"/>
    <w:rsid w:val="00CF6343"/>
    <w:rsid w:val="00D0788A"/>
    <w:rsid w:val="00D25802"/>
    <w:rsid w:val="00D67787"/>
    <w:rsid w:val="00D971B6"/>
    <w:rsid w:val="00DA53AF"/>
    <w:rsid w:val="00DC7213"/>
    <w:rsid w:val="00DE626F"/>
    <w:rsid w:val="00EA2A5C"/>
    <w:rsid w:val="00EA57EC"/>
    <w:rsid w:val="00ED62FC"/>
    <w:rsid w:val="00EE5776"/>
    <w:rsid w:val="00F141C5"/>
    <w:rsid w:val="00F55908"/>
    <w:rsid w:val="00F55AAD"/>
    <w:rsid w:val="00F57F7B"/>
    <w:rsid w:val="00F72061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і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A61A-390A-4CCA-ACFD-B36884A3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2884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15</cp:revision>
  <cp:lastPrinted>2023-01-02T10:26:00Z</cp:lastPrinted>
  <dcterms:created xsi:type="dcterms:W3CDTF">2023-07-24T13:31:00Z</dcterms:created>
  <dcterms:modified xsi:type="dcterms:W3CDTF">2023-10-13T15:44:00Z</dcterms:modified>
</cp:coreProperties>
</file>