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DC2A4C" w:rsidRPr="00F364D3" w:rsidTr="00406A77">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C2A4C" w:rsidRPr="00713F7E" w:rsidRDefault="00DC2A4C" w:rsidP="00406A77">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C2A4C" w:rsidRPr="00713F7E" w:rsidRDefault="00DC2A4C" w:rsidP="00406A77">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DC2A4C" w:rsidRPr="00F364D3" w:rsidRDefault="00DC2A4C" w:rsidP="00406A77">
            <w:pPr>
              <w:suppressAutoHyphens/>
              <w:spacing w:after="0" w:line="240" w:lineRule="auto"/>
              <w:ind w:right="22"/>
              <w:jc w:val="both"/>
              <w:rPr>
                <w:rFonts w:ascii="Times New Roman" w:hAnsi="Times New Roman" w:cs="Times New Roman"/>
                <w:b/>
              </w:rPr>
            </w:pPr>
            <w:r w:rsidRPr="00F364D3">
              <w:rPr>
                <w:rFonts w:ascii="Times New Roman" w:hAnsi="Times New Roman" w:cs="Times New Roman"/>
                <w:b/>
              </w:rPr>
              <w:t>Спосіб підтвердження</w:t>
            </w:r>
          </w:p>
        </w:tc>
      </w:tr>
      <w:tr w:rsidR="00DC2A4C" w:rsidRPr="00AA31FA" w:rsidTr="00406A77">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DC2A4C" w:rsidRPr="009A6607" w:rsidRDefault="00DC2A4C" w:rsidP="00406A77">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C2A4C" w:rsidRPr="00AA31FA" w:rsidRDefault="00DC2A4C" w:rsidP="00406A77">
            <w:pPr>
              <w:tabs>
                <w:tab w:val="left" w:pos="284"/>
              </w:tabs>
              <w:suppressAutoHyphens/>
              <w:spacing w:after="0" w:line="240" w:lineRule="auto"/>
              <w:jc w:val="both"/>
              <w:rPr>
                <w:rFonts w:ascii="Times New Roman" w:eastAsia="Times New Roman" w:hAnsi="Times New Roman" w:cs="Times New Roman"/>
                <w:b/>
              </w:rPr>
            </w:pPr>
            <w:r w:rsidRPr="00AA31FA">
              <w:rPr>
                <w:rFonts w:ascii="Times New Roman" w:eastAsia="Times New Roman" w:hAnsi="Times New Roman" w:cs="Times New Roman"/>
                <w:b/>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DC2A4C" w:rsidRPr="007D211F" w:rsidRDefault="00DC2A4C" w:rsidP="00DC2A4C">
            <w:pPr>
              <w:pStyle w:val="a6"/>
              <w:numPr>
                <w:ilvl w:val="0"/>
                <w:numId w:val="33"/>
              </w:numPr>
              <w:spacing w:after="0" w:line="240" w:lineRule="auto"/>
              <w:ind w:left="0" w:firstLine="321"/>
              <w:jc w:val="both"/>
              <w:rPr>
                <w:rFonts w:ascii="Times New Roman" w:eastAsia="Times New Roman" w:hAnsi="Times New Roman"/>
              </w:rPr>
            </w:pPr>
            <w:r w:rsidRPr="007D211F">
              <w:rPr>
                <w:rFonts w:ascii="Times New Roman" w:eastAsia="Times New Roman" w:hAnsi="Times New Roman"/>
              </w:rPr>
              <w:t xml:space="preserve">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аналогічний до предмету цієї процедури закупівлі (не менше одного договору). </w:t>
            </w:r>
          </w:p>
          <w:p w:rsidR="00DC2A4C" w:rsidRPr="007D211F" w:rsidRDefault="00DC2A4C" w:rsidP="00406A77">
            <w:pPr>
              <w:spacing w:after="0" w:line="240" w:lineRule="auto"/>
              <w:jc w:val="both"/>
              <w:rPr>
                <w:rFonts w:ascii="Times New Roman" w:eastAsia="Times New Roman" w:hAnsi="Times New Roman"/>
              </w:rPr>
            </w:pPr>
            <w:r w:rsidRPr="007D211F">
              <w:rPr>
                <w:rFonts w:ascii="Times New Roman" w:eastAsia="Times New Roman" w:hAnsi="Times New Roman"/>
              </w:rPr>
              <w:t>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rsidR="00DC2A4C" w:rsidRPr="007D211F" w:rsidRDefault="00DC2A4C" w:rsidP="00406A77">
            <w:pPr>
              <w:spacing w:after="0" w:line="240" w:lineRule="auto"/>
              <w:ind w:firstLine="321"/>
              <w:jc w:val="both"/>
              <w:rPr>
                <w:rFonts w:ascii="Times New Roman" w:eastAsia="Times New Roman" w:hAnsi="Times New Roman" w:cs="Times New Roman"/>
              </w:rPr>
            </w:pPr>
            <w:r w:rsidRPr="00AA31FA">
              <w:rPr>
                <w:rFonts w:ascii="Times New Roman" w:eastAsia="Times New Roman" w:hAnsi="Times New Roman" w:cs="Times New Roman"/>
              </w:rPr>
              <w:t>2. Для підтвердження вказаної учасником у довідці інформації він повинен надати оригінал або завірену належним чином копію аналогічного договору</w:t>
            </w:r>
            <w:r>
              <w:rPr>
                <w:rFonts w:ascii="Times New Roman" w:eastAsia="Times New Roman" w:hAnsi="Times New Roman" w:cs="Times New Roman"/>
              </w:rPr>
              <w:t xml:space="preserve"> та документи, які підтверджують його виконання, а також позитивний відгук від контрагента за аналогічним договором.</w:t>
            </w:r>
          </w:p>
          <w:p w:rsidR="00DC2A4C" w:rsidRPr="00AA31FA" w:rsidRDefault="00DC2A4C" w:rsidP="00406A77">
            <w:pPr>
              <w:spacing w:after="0" w:line="240" w:lineRule="auto"/>
              <w:jc w:val="both"/>
              <w:rPr>
                <w:rFonts w:ascii="Times New Roman" w:eastAsia="Times New Roman" w:hAnsi="Times New Roman" w:cs="Times New Roman"/>
              </w:rPr>
            </w:pPr>
          </w:p>
          <w:p w:rsidR="00DC2A4C" w:rsidRPr="001A40FA" w:rsidRDefault="00DC2A4C" w:rsidP="00406A77">
            <w:pPr>
              <w:spacing w:after="0" w:line="240" w:lineRule="auto"/>
              <w:jc w:val="both"/>
              <w:rPr>
                <w:rFonts w:ascii="Times New Roman" w:eastAsia="Times New Roman" w:hAnsi="Times New Roman" w:cs="Times New Roman"/>
                <w:i/>
              </w:rPr>
            </w:pPr>
            <w:r w:rsidRPr="00AA31FA">
              <w:rPr>
                <w:rFonts w:ascii="Times New Roman" w:eastAsia="Times New Roman" w:hAnsi="Times New Roman" w:cs="Times New Roman"/>
                <w:i/>
              </w:rPr>
              <w:t>Примітка:</w:t>
            </w:r>
            <w:r>
              <w:rPr>
                <w:rFonts w:ascii="Times New Roman" w:eastAsia="Times New Roman" w:hAnsi="Times New Roman" w:cs="Times New Roman"/>
                <w:i/>
              </w:rPr>
              <w:t xml:space="preserve"> </w:t>
            </w:r>
          </w:p>
          <w:p w:rsidR="00DC2A4C" w:rsidRPr="00AA31FA" w:rsidRDefault="00DC2A4C" w:rsidP="00406A77">
            <w:pPr>
              <w:pStyle w:val="a6"/>
              <w:ind w:left="0"/>
              <w:jc w:val="both"/>
              <w:rPr>
                <w:rFonts w:ascii="Times New Roman" w:hAnsi="Times New Roman"/>
              </w:rPr>
            </w:pPr>
            <w:r w:rsidRPr="00AA31FA">
              <w:rPr>
                <w:rFonts w:ascii="Times New Roman" w:hAnsi="Times New Roman"/>
                <w:i/>
              </w:rPr>
              <w:t>Аналогічний договір – договір на поставку</w:t>
            </w:r>
            <w:r>
              <w:rPr>
                <w:rFonts w:ascii="Times New Roman" w:hAnsi="Times New Roman"/>
                <w:i/>
              </w:rPr>
              <w:t xml:space="preserve"> радіаторів</w:t>
            </w:r>
            <w:r w:rsidRPr="00AA31FA">
              <w:rPr>
                <w:rFonts w:ascii="Times New Roman" w:hAnsi="Times New Roman"/>
                <w:i/>
              </w:rPr>
              <w:t>.</w:t>
            </w:r>
          </w:p>
        </w:tc>
      </w:tr>
    </w:tbl>
    <w:p w:rsidR="002C35DA" w:rsidRDefault="002C35DA">
      <w:pPr>
        <w:rPr>
          <w:rFonts w:ascii="Times New Roman" w:hAnsi="Times New Roman" w:cs="Times New Roman"/>
          <w:i/>
          <w:highlight w:val="yellow"/>
        </w:rPr>
      </w:pPr>
    </w:p>
    <w:p w:rsidR="0061097C" w:rsidRDefault="0061097C">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3287D">
              <w:rPr>
                <w:rFonts w:ascii="Times New Roman" w:hAnsi="Times New Roman"/>
                <w:sz w:val="22"/>
                <w:szCs w:val="22"/>
              </w:rPr>
              <w:t xml:space="preserve"> </w:t>
            </w:r>
            <w:r w:rsidR="0073287D" w:rsidRPr="0073287D">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w:t>
            </w:r>
            <w:r w:rsidR="00597B48" w:rsidRPr="008A160C">
              <w:rPr>
                <w:rFonts w:ascii="Times New Roman" w:hAnsi="Times New Roman"/>
                <w:sz w:val="22"/>
                <w:szCs w:val="22"/>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8A160C" w:rsidRDefault="008A160C" w:rsidP="004C25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4C2521">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02D64"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Замовник перевіряє цю інформацію самостійно.</w:t>
            </w:r>
          </w:p>
          <w:p w:rsidR="00702D64" w:rsidRDefault="00702D64" w:rsidP="00702D64">
            <w:pPr>
              <w:spacing w:after="0" w:line="240" w:lineRule="auto"/>
              <w:jc w:val="both"/>
              <w:rPr>
                <w:rFonts w:ascii="Times New Roman" w:hAnsi="Times New Roman" w:cs="Times New Roman"/>
                <w:lang w:eastAsia="ru-RU"/>
              </w:rPr>
            </w:pPr>
          </w:p>
          <w:p w:rsidR="00702D64" w:rsidRDefault="00702D64" w:rsidP="00702D64">
            <w:pPr>
              <w:spacing w:after="0" w:line="240" w:lineRule="auto"/>
              <w:jc w:val="both"/>
              <w:rPr>
                <w:rFonts w:ascii="Times New Roman" w:hAnsi="Times New Roman" w:cs="Times New Roman"/>
                <w:lang w:eastAsia="ru-RU"/>
              </w:rPr>
            </w:pPr>
          </w:p>
          <w:p w:rsidR="00597B48" w:rsidRPr="00346E59"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w:t>
            </w:r>
            <w:r w:rsidRPr="0010457E">
              <w:rPr>
                <w:rFonts w:ascii="Times New Roman" w:hAnsi="Times New Roman" w:cs="Times New Roman"/>
                <w:lang w:eastAsia="ru-RU"/>
              </w:rPr>
              <w:t>Інформаційн</w:t>
            </w:r>
            <w:r>
              <w:rPr>
                <w:rFonts w:ascii="Times New Roman" w:hAnsi="Times New Roman" w:cs="Times New Roman"/>
                <w:lang w:eastAsia="ru-RU"/>
              </w:rPr>
              <w:t>у</w:t>
            </w:r>
            <w:r w:rsidRPr="0010457E">
              <w:rPr>
                <w:rFonts w:ascii="Times New Roman" w:hAnsi="Times New Roman" w:cs="Times New Roman"/>
                <w:lang w:eastAsia="ru-RU"/>
              </w:rPr>
              <w:t xml:space="preserve"> довідк</w:t>
            </w:r>
            <w:r>
              <w:rPr>
                <w:rFonts w:ascii="Times New Roman" w:hAnsi="Times New Roman" w:cs="Times New Roman"/>
                <w:lang w:eastAsia="ru-RU"/>
              </w:rPr>
              <w:t>у</w:t>
            </w:r>
            <w:r w:rsidRPr="0010457E">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hAnsi="Times New Roman" w:cs="Times New Roman"/>
                <w:lang w:eastAsia="ru-RU"/>
              </w:rPr>
              <w:t xml:space="preserve"> (сформовану із реєстру </w:t>
            </w:r>
            <w:hyperlink r:id="rId8" w:history="1">
              <w:r w:rsidRPr="004849EC">
                <w:rPr>
                  <w:rStyle w:val="a5"/>
                  <w:rFonts w:ascii="Times New Roman" w:hAnsi="Times New Roman"/>
                  <w:lang w:eastAsia="ru-RU"/>
                </w:rPr>
                <w:t>https://corruptinfo.nazk.gov.ua/reference/getpersonalreference/individual</w:t>
              </w:r>
            </w:hyperlink>
            <w:r>
              <w:rPr>
                <w:rFonts w:ascii="Times New Roman" w:hAnsi="Times New Roman" w:cs="Times New Roman"/>
                <w:lang w:eastAsia="ru-RU"/>
              </w:rPr>
              <w:t>)  або гарантійний лист).</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керівника учасника процедури </w:t>
            </w:r>
            <w:r w:rsidRPr="00346E59">
              <w:rPr>
                <w:rFonts w:ascii="Times New Roman" w:eastAsia="Times New Roman" w:hAnsi="Times New Roman" w:cs="Times New Roman"/>
                <w:b/>
                <w:lang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lastRenderedPageBreak/>
              <w:t xml:space="preserve">Витяг з інформаційно-аналітичної системи «Облік </w:t>
            </w:r>
            <w:r w:rsidRPr="00346E59">
              <w:rPr>
                <w:sz w:val="22"/>
                <w:szCs w:val="22"/>
                <w:lang w:val="ru-RU" w:eastAsia="ru-RU"/>
              </w:rPr>
              <w:lastRenderedPageBreak/>
              <w:t xml:space="preserve">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(підстава згідно з абз.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702D64">
            <w:pPr>
              <w:pStyle w:val="aa"/>
              <w:numPr>
                <w:ilvl w:val="1"/>
                <w:numId w:val="32"/>
              </w:numPr>
              <w:spacing w:before="0" w:beforeAutospacing="0" w:after="0" w:afterAutospacing="0"/>
              <w:jc w:val="both"/>
              <w:rPr>
                <w:color w:val="000000"/>
                <w:sz w:val="22"/>
                <w:szCs w:val="22"/>
                <w:lang w:val="uk-UA" w:eastAsia="uk-UA"/>
              </w:rPr>
            </w:pPr>
            <w:r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В) У разі якщо тендерна пропозиція подається об</w:t>
            </w:r>
            <w:r w:rsidR="00702D64">
              <w:rPr>
                <w:color w:val="000000"/>
                <w:sz w:val="22"/>
                <w:szCs w:val="22"/>
                <w:lang w:eastAsia="uk-UA"/>
              </w:rPr>
              <w:t>’</w:t>
            </w:r>
            <w:r w:rsidRPr="00346E59">
              <w:rPr>
                <w:color w:val="000000"/>
                <w:sz w:val="22"/>
                <w:szCs w:val="22"/>
                <w:lang w:eastAsia="uk-UA"/>
              </w:rPr>
              <w:t>єднанням учасників, до неї обов</w:t>
            </w:r>
            <w:r w:rsidR="00702D64">
              <w:rPr>
                <w:color w:val="000000"/>
                <w:sz w:val="22"/>
                <w:szCs w:val="22"/>
                <w:lang w:eastAsia="uk-UA"/>
              </w:rPr>
              <w:t>’</w:t>
            </w:r>
            <w:r w:rsidRPr="00346E59">
              <w:rPr>
                <w:color w:val="000000"/>
                <w:sz w:val="22"/>
                <w:szCs w:val="22"/>
                <w:lang w:eastAsia="uk-UA"/>
              </w:rPr>
              <w:t>язково включається документ про створення такого об</w:t>
            </w:r>
            <w:r w:rsidR="00702D64">
              <w:rPr>
                <w:color w:val="000000"/>
                <w:sz w:val="22"/>
                <w:szCs w:val="22"/>
                <w:lang w:eastAsia="uk-UA"/>
              </w:rPr>
              <w:t>’</w:t>
            </w:r>
            <w:r w:rsidRPr="00346E59">
              <w:rPr>
                <w:color w:val="000000"/>
                <w:sz w:val="22"/>
                <w:szCs w:val="22"/>
                <w:lang w:eastAsia="uk-UA"/>
              </w:rPr>
              <w:t xml:space="preserve">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w:t>
            </w:r>
            <w:r w:rsidR="00702D64">
              <w:rPr>
                <w:rFonts w:ascii="Times New Roman" w:hAnsi="Times New Roman"/>
                <w:iCs/>
              </w:rPr>
              <w:t>–</w:t>
            </w:r>
            <w:r w:rsidR="001975F8" w:rsidRPr="00346E59">
              <w:rPr>
                <w:rFonts w:ascii="Times New Roman" w:hAnsi="Times New Roman"/>
                <w:iCs/>
              </w:rPr>
              <w:t xml:space="preserve">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w:t>
            </w:r>
            <w:r w:rsidR="00285677">
              <w:rPr>
                <w:rFonts w:ascii="Times New Roman" w:hAnsi="Times New Roman" w:cs="Times New Roman"/>
              </w:rPr>
              <w:t xml:space="preserve"> або виписка</w:t>
            </w:r>
            <w:r w:rsidR="001975F8" w:rsidRPr="00346E59">
              <w:rPr>
                <w:rFonts w:ascii="Times New Roman" w:hAnsi="Times New Roman" w:cs="Times New Roman"/>
              </w:rPr>
              <w:t xml:space="preserve"> із Єдиного державного реєстру юридичних осіб, фізичних осіб-підприємців та громадських формуван</w:t>
            </w:r>
            <w:r w:rsidR="00285677">
              <w:rPr>
                <w:rFonts w:ascii="Times New Roman" w:hAnsi="Times New Roman" w:cs="Times New Roman"/>
              </w:rPr>
              <w:t>ь (документ має містити актуальну інформацію)</w:t>
            </w:r>
            <w:r w:rsidR="001975F8" w:rsidRPr="00346E59">
              <w:rPr>
                <w:rFonts w:ascii="Times New Roman" w:hAnsi="Times New Roman" w:cs="Times New Roman"/>
              </w:rPr>
              <w:t>.</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E1EB7" w:rsidRPr="008376F9" w:rsidTr="00702D64">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702D64"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702D64"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702D64" w:rsidRPr="00702D64" w:rsidRDefault="00702D64" w:rsidP="004E1EB7">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Інформація про громадянство учасника (фізичної особи чи ФОПа);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або інформація про кінцевих бенефіціарних власників юридичної особи, їх громадянство та частка у статутному капіталі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02D64" w:rsidRPr="00EC2AF3" w:rsidRDefault="00702D64" w:rsidP="004E1EB7">
                  <w:pPr>
                    <w:snapToGrid w:val="0"/>
                    <w:spacing w:after="0" w:line="252" w:lineRule="auto"/>
                    <w:ind w:right="-81"/>
                    <w:jc w:val="both"/>
                    <w:rPr>
                      <w:rFonts w:ascii="Times New Roman" w:hAnsi="Times New Roman" w:cs="Times New Roman"/>
                      <w:color w:val="000000"/>
                      <w:lang w:val="ru-RU" w:eastAsia="ru-RU"/>
                    </w:rPr>
                  </w:pPr>
                </w:p>
              </w:tc>
            </w:tr>
          </w:tbl>
          <w:p w:rsidR="004E1EB7"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957281" w:rsidRDefault="00702D64" w:rsidP="00702D64">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02D64" w:rsidRPr="00957281" w:rsidRDefault="00702D64" w:rsidP="00702D64">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702D64" w:rsidRPr="00957281" w:rsidRDefault="00702D64" w:rsidP="00702D64">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7F13FC"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01D" w:rsidRDefault="0083101D">
      <w:pPr>
        <w:spacing w:after="0" w:line="240" w:lineRule="auto"/>
      </w:pPr>
      <w:r>
        <w:separator/>
      </w:r>
    </w:p>
  </w:endnote>
  <w:endnote w:type="continuationSeparator" w:id="0">
    <w:p w:rsidR="0083101D" w:rsidRDefault="0083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01D" w:rsidRDefault="0083101D">
      <w:pPr>
        <w:spacing w:after="0" w:line="240" w:lineRule="auto"/>
      </w:pPr>
      <w:r>
        <w:separator/>
      </w:r>
    </w:p>
  </w:footnote>
  <w:footnote w:type="continuationSeparator" w:id="0">
    <w:p w:rsidR="0083101D" w:rsidRDefault="0083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620AD" w:rsidRPr="00D620AD">
      <w:rPr>
        <w:rFonts w:ascii="Times New Roman" w:hAnsi="Times New Roman"/>
        <w:noProof/>
        <w:sz w:val="28"/>
        <w:szCs w:val="28"/>
        <w:lang w:val="ru-RU"/>
      </w:rPr>
      <w:t>8</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1D6767"/>
    <w:multiLevelType w:val="hybridMultilevel"/>
    <w:tmpl w:val="F1DC0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2"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5"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4"/>
  </w:num>
  <w:num w:numId="2">
    <w:abstractNumId w:val="27"/>
  </w:num>
  <w:num w:numId="3">
    <w:abstractNumId w:val="10"/>
  </w:num>
  <w:num w:numId="4">
    <w:abstractNumId w:val="32"/>
  </w:num>
  <w:num w:numId="5">
    <w:abstractNumId w:val="12"/>
  </w:num>
  <w:num w:numId="6">
    <w:abstractNumId w:val="0"/>
  </w:num>
  <w:num w:numId="7">
    <w:abstractNumId w:val="19"/>
  </w:num>
  <w:num w:numId="8">
    <w:abstractNumId w:val="30"/>
  </w:num>
  <w:num w:numId="9">
    <w:abstractNumId w:val="9"/>
  </w:num>
  <w:num w:numId="10">
    <w:abstractNumId w:val="31"/>
  </w:num>
  <w:num w:numId="11">
    <w:abstractNumId w:val="29"/>
  </w:num>
  <w:num w:numId="12">
    <w:abstractNumId w:val="4"/>
  </w:num>
  <w:num w:numId="13">
    <w:abstractNumId w:val="18"/>
  </w:num>
  <w:num w:numId="14">
    <w:abstractNumId w:val="20"/>
  </w:num>
  <w:num w:numId="15">
    <w:abstractNumId w:val="11"/>
  </w:num>
  <w:num w:numId="16">
    <w:abstractNumId w:val="23"/>
  </w:num>
  <w:num w:numId="17">
    <w:abstractNumId w:val="7"/>
  </w:num>
  <w:num w:numId="18">
    <w:abstractNumId w:val="26"/>
  </w:num>
  <w:num w:numId="19">
    <w:abstractNumId w:val="6"/>
  </w:num>
  <w:num w:numId="20">
    <w:abstractNumId w:val="22"/>
  </w:num>
  <w:num w:numId="21">
    <w:abstractNumId w:val="5"/>
  </w:num>
  <w:num w:numId="22">
    <w:abstractNumId w:val="3"/>
  </w:num>
  <w:num w:numId="23">
    <w:abstractNumId w:val="28"/>
  </w:num>
  <w:num w:numId="24">
    <w:abstractNumId w:val="15"/>
  </w:num>
  <w:num w:numId="25">
    <w:abstractNumId w:val="1"/>
  </w:num>
  <w:num w:numId="26">
    <w:abstractNumId w:val="21"/>
  </w:num>
  <w:num w:numId="27">
    <w:abstractNumId w:val="8"/>
  </w:num>
  <w:num w:numId="28">
    <w:abstractNumId w:val="13"/>
  </w:num>
  <w:num w:numId="29">
    <w:abstractNumId w:val="17"/>
  </w:num>
  <w:num w:numId="30">
    <w:abstractNumId w:val="25"/>
  </w:num>
  <w:num w:numId="31">
    <w:abstractNumId w:val="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4085"/>
    <w:rsid w:val="0001704B"/>
    <w:rsid w:val="000247E2"/>
    <w:rsid w:val="000370A4"/>
    <w:rsid w:val="00046159"/>
    <w:rsid w:val="00051F02"/>
    <w:rsid w:val="00071B88"/>
    <w:rsid w:val="00097D0F"/>
    <w:rsid w:val="000A1F71"/>
    <w:rsid w:val="000C57D9"/>
    <w:rsid w:val="000D6C46"/>
    <w:rsid w:val="000F1E54"/>
    <w:rsid w:val="0010524F"/>
    <w:rsid w:val="001363AF"/>
    <w:rsid w:val="00136C58"/>
    <w:rsid w:val="001454DF"/>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85677"/>
    <w:rsid w:val="002938A2"/>
    <w:rsid w:val="002A735D"/>
    <w:rsid w:val="002C21AE"/>
    <w:rsid w:val="002C35DA"/>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C2521"/>
    <w:rsid w:val="004C3A34"/>
    <w:rsid w:val="004E1EB7"/>
    <w:rsid w:val="004F244F"/>
    <w:rsid w:val="004F5544"/>
    <w:rsid w:val="004F68AC"/>
    <w:rsid w:val="0053182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1097C"/>
    <w:rsid w:val="0064436B"/>
    <w:rsid w:val="00663333"/>
    <w:rsid w:val="00663AE0"/>
    <w:rsid w:val="00681EE3"/>
    <w:rsid w:val="006A699E"/>
    <w:rsid w:val="006C2553"/>
    <w:rsid w:val="006C42D1"/>
    <w:rsid w:val="006C4709"/>
    <w:rsid w:val="006E3B6B"/>
    <w:rsid w:val="006E7588"/>
    <w:rsid w:val="006F19B3"/>
    <w:rsid w:val="006F527E"/>
    <w:rsid w:val="00702D64"/>
    <w:rsid w:val="00706C45"/>
    <w:rsid w:val="00711687"/>
    <w:rsid w:val="00713F7E"/>
    <w:rsid w:val="00716082"/>
    <w:rsid w:val="00716438"/>
    <w:rsid w:val="00731F24"/>
    <w:rsid w:val="0073287D"/>
    <w:rsid w:val="00733D1F"/>
    <w:rsid w:val="0075645D"/>
    <w:rsid w:val="007638CD"/>
    <w:rsid w:val="00770AED"/>
    <w:rsid w:val="00782503"/>
    <w:rsid w:val="00784553"/>
    <w:rsid w:val="00790ED9"/>
    <w:rsid w:val="007A4CA3"/>
    <w:rsid w:val="007C5F26"/>
    <w:rsid w:val="007D34BF"/>
    <w:rsid w:val="007F13FC"/>
    <w:rsid w:val="00800627"/>
    <w:rsid w:val="0080331F"/>
    <w:rsid w:val="00810AF1"/>
    <w:rsid w:val="008251B8"/>
    <w:rsid w:val="00830831"/>
    <w:rsid w:val="0083101D"/>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5B37"/>
    <w:rsid w:val="00CC4367"/>
    <w:rsid w:val="00CE192F"/>
    <w:rsid w:val="00D1455B"/>
    <w:rsid w:val="00D37EEC"/>
    <w:rsid w:val="00D420A3"/>
    <w:rsid w:val="00D54477"/>
    <w:rsid w:val="00D620AD"/>
    <w:rsid w:val="00D777BE"/>
    <w:rsid w:val="00DA2587"/>
    <w:rsid w:val="00DA3CC2"/>
    <w:rsid w:val="00DA4B73"/>
    <w:rsid w:val="00DB2914"/>
    <w:rsid w:val="00DC2A4C"/>
    <w:rsid w:val="00DD1360"/>
    <w:rsid w:val="00DD4744"/>
    <w:rsid w:val="00DD6501"/>
    <w:rsid w:val="00E330D5"/>
    <w:rsid w:val="00E44675"/>
    <w:rsid w:val="00E56C08"/>
    <w:rsid w:val="00E57E7C"/>
    <w:rsid w:val="00E60EC1"/>
    <w:rsid w:val="00E62A17"/>
    <w:rsid w:val="00E750EE"/>
    <w:rsid w:val="00E82037"/>
    <w:rsid w:val="00E877B3"/>
    <w:rsid w:val="00E90174"/>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025"/>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76A7-F05E-4EC3-AE1B-5B4A00EA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11984</Words>
  <Characters>6831</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81</cp:revision>
  <dcterms:created xsi:type="dcterms:W3CDTF">2023-02-08T10:51:00Z</dcterms:created>
  <dcterms:modified xsi:type="dcterms:W3CDTF">2023-10-30T09:05:00Z</dcterms:modified>
</cp:coreProperties>
</file>