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ind w:left="5760" w:firstLine="720"/>
        <w:rPr>
          <w:rFonts w:ascii="Times New Roman" w:hAnsi="Times New Roman" w:eastAsia="Times New Roman" w:cs="Times New Roman"/>
          <w:b/>
          <w:b/>
          <w:i/>
          <w:i/>
          <w:color w:val="4A86E8"/>
          <w:sz w:val="24"/>
          <w:szCs w:val="24"/>
        </w:rPr>
      </w:pPr>
      <w:r>
        <w:rPr>
          <w:rFonts w:eastAsia="Times New Roman" w:cs="Times New Roman" w:ascii="Times New Roman" w:hAnsi="Times New Roman"/>
          <w:b/>
          <w:i/>
          <w:color w:val="4A86E8"/>
          <w:sz w:val="24"/>
          <w:szCs w:val="24"/>
        </w:rPr>
        <w:t xml:space="preserve">  </w:t>
      </w:r>
      <w:r>
        <w:rPr>
          <w:rFonts w:eastAsia="Times New Roman" w:cs="Times New Roman" w:ascii="Times New Roman" w:hAnsi="Times New Roman"/>
          <w:b/>
          <w:i/>
          <w:color w:val="4A86E8"/>
          <w:sz w:val="24"/>
          <w:szCs w:val="24"/>
          <w:shd w:fill="FFFF00" w:val="clear"/>
        </w:rPr>
        <w:t xml:space="preserve">  </w:t>
      </w:r>
    </w:p>
    <w:p>
      <w:pPr>
        <w:pStyle w:val="LOnormal"/>
        <w:spacing w:lineRule="auto" w:line="240" w:before="0" w:after="0"/>
        <w:ind w:left="0" w:hanging="0"/>
        <w:jc w:val="lef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ДОДАТОК 1</w:t>
      </w:r>
    </w:p>
    <w:p>
      <w:pPr>
        <w:pStyle w:val="LOnormal"/>
        <w:spacing w:lineRule="auto" w:line="240" w:before="0" w:after="0"/>
        <w:ind w:left="5660" w:firstLine="700"/>
        <w:jc w:val="right"/>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до тендерної документації</w:t>
      </w:r>
    </w:p>
    <w:p>
      <w:pPr>
        <w:pStyle w:val="LOnormal"/>
        <w:spacing w:lineRule="auto" w:line="240" w:before="0" w:after="0"/>
        <w:ind w:left="5660" w:firstLine="700"/>
        <w:jc w:val="right"/>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LO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LO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w:t>
      </w:r>
    </w:p>
    <w:p>
      <w:pPr>
        <w:pStyle w:val="LOnormal"/>
        <w:spacing w:lineRule="auto" w:line="240" w:before="0" w:after="0"/>
        <w:ind w:left="0" w:hanging="0"/>
        <w:jc w:val="left"/>
        <w:rPr>
          <w:rFonts w:ascii="Times New Roman" w:hAnsi="Times New Roman" w:eastAsia="Times New Roman" w:cs="Times New Roman"/>
          <w:color w:val="4472C4"/>
          <w:sz w:val="20"/>
          <w:szCs w:val="20"/>
        </w:rPr>
      </w:pPr>
      <w:r>
        <w:rPr>
          <w:rFonts w:eastAsia="Times New Roman" w:cs="Times New Roman" w:ascii="Times New Roman" w:hAnsi="Times New Roman"/>
          <w:color w:val="4472C4"/>
          <w:sz w:val="20"/>
          <w:szCs w:val="20"/>
        </w:rPr>
      </w:r>
    </w:p>
    <w:tbl>
      <w:tblPr>
        <w:tblStyle w:val="Table1"/>
        <w:tblW w:w="9619" w:type="dxa"/>
        <w:jc w:val="center"/>
        <w:tblInd w:w="0" w:type="dxa"/>
        <w:tblLayout w:type="fixed"/>
        <w:tblCellMar>
          <w:top w:w="100" w:type="dxa"/>
          <w:left w:w="100" w:type="dxa"/>
          <w:bottom w:w="100" w:type="dxa"/>
          <w:right w:w="100" w:type="dxa"/>
        </w:tblCellMar>
        <w:tblLook w:val="0400"/>
      </w:tblPr>
      <w:tblGrid>
        <w:gridCol w:w="483"/>
        <w:gridCol w:w="2273"/>
        <w:gridCol w:w="6863"/>
      </w:tblGrid>
      <w:tr>
        <w:trPr>
          <w:trHeight w:val="690" w:hRule="atLeast"/>
        </w:trPr>
        <w:tc>
          <w:tcPr>
            <w:tcW w:w="483"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63"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Документи </w:t>
            </w:r>
            <w:r>
              <w:rPr>
                <w:rFonts w:ascii="Times New Roman" w:hAnsi="Times New Roman"/>
                <w:b/>
                <w:bCs/>
                <w:sz w:val="20"/>
                <w:szCs w:val="20"/>
              </w:rPr>
              <w:t>та інформація</w:t>
            </w:r>
            <w:r>
              <w:rPr>
                <w:rFonts w:eastAsia="Times New Roman" w:cs="Times New Roman" w:ascii="Times New Roman" w:hAnsi="Times New Roman"/>
                <w:b/>
                <w:color w:val="000000"/>
                <w:sz w:val="20"/>
                <w:szCs w:val="20"/>
              </w:rPr>
              <w:t>, які підтверджують відповідність Учасника кваліфікаційним критеріям*</w:t>
            </w:r>
          </w:p>
        </w:tc>
      </w:tr>
      <w:tr>
        <w:trPr>
          <w:trHeight w:val="2255" w:hRule="atLeast"/>
        </w:trPr>
        <w:tc>
          <w:tcPr>
            <w:tcW w:w="48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LOnormal"/>
              <w:widowControl w:val="false"/>
              <w:spacing w:lineRule="auto" w:line="240" w:before="0" w:after="0"/>
              <w:jc w:val="both"/>
              <w:rPr>
                <w:rFonts w:ascii="Times New Roman" w:hAnsi="Times New Roman" w:eastAsia="Times New Roman" w:cs="Times New Roman"/>
                <w:b/>
                <w:b/>
                <w:i/>
                <w:i/>
                <w:color w:val="000000"/>
                <w:sz w:val="20"/>
                <w:szCs w:val="20"/>
              </w:rPr>
            </w:pPr>
            <w:r>
              <w:rPr>
                <w:rFonts w:eastAsia="Times New Roman" w:cs="Times New Roman" w:ascii="Times New Roman" w:hAnsi="Times New Roman"/>
                <w:b/>
                <w:i/>
                <w:color w:val="000000"/>
                <w:sz w:val="20"/>
                <w:szCs w:val="20"/>
              </w:rPr>
              <w:t>Аналогічним вважається договір на постачання природного газу.</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1.1.2.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w:t>
            </w:r>
          </w:p>
          <w:p>
            <w:pPr>
              <w:pStyle w:val="LOnormal"/>
              <w:widowControl w:val="false"/>
              <w:spacing w:lineRule="auto" w:line="240" w:before="0" w:after="0"/>
              <w:jc w:val="both"/>
              <w:rPr>
                <w:rFonts w:ascii="Times New Roman" w:hAnsi="Times New Roman" w:eastAsia="Times New Roman" w:cs="Times New Roman"/>
                <w:color w:val="FF0000"/>
                <w:sz w:val="20"/>
                <w:szCs w:val="20"/>
              </w:rPr>
            </w:pPr>
            <w:r>
              <w:rPr>
                <w:rFonts w:eastAsia="Times New Roman" w:cs="Times New Roman" w:ascii="Times New Roman" w:hAnsi="Times New Roman"/>
                <w:color w:val="000000"/>
                <w:sz w:val="20"/>
                <w:szCs w:val="20"/>
              </w:rPr>
              <w:t xml:space="preserve">1.1.3. </w:t>
            </w:r>
            <w:r>
              <w:rPr>
                <w:rFonts w:eastAsia="Times New Roman" w:cs="Times New Roman" w:ascii="Times New Roman" w:hAnsi="Times New Roman"/>
                <w:color w:val="000000"/>
                <w:sz w:val="20"/>
                <w:szCs w:val="20"/>
                <w:highlight w:val="white"/>
              </w:rPr>
              <w:t>лист</w:t>
            </w:r>
            <w:r>
              <w:rPr>
                <w:rFonts w:eastAsia="Times New Roman" w:cs="Times New Roman" w:ascii="Times New Roman" w:hAnsi="Times New Roman"/>
                <w:sz w:val="20"/>
                <w:szCs w:val="20"/>
                <w:highlight w:val="white"/>
              </w:rPr>
              <w:t>-</w:t>
            </w:r>
            <w:r>
              <w:rPr>
                <w:rFonts w:eastAsia="Times New Roman" w:cs="Times New Roman"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eastAsia="Times New Roman" w:cs="Times New Roman" w:ascii="Times New Roman" w:hAnsi="Times New Roman"/>
                <w:sz w:val="20"/>
                <w:szCs w:val="20"/>
                <w:highlight w:val="white"/>
              </w:rPr>
              <w:t>им</w:t>
            </w:r>
            <w:r>
              <w:rPr>
                <w:rFonts w:eastAsia="Times New Roman" w:cs="Times New Roman" w:ascii="Times New Roman" w:hAnsi="Times New Roman"/>
                <w:color w:val="000000"/>
                <w:sz w:val="20"/>
                <w:szCs w:val="20"/>
                <w:highlight w:val="white"/>
              </w:rPr>
              <w:t xml:space="preserve"> договор</w:t>
            </w:r>
            <w:r>
              <w:rPr>
                <w:rFonts w:eastAsia="Times New Roman" w:cs="Times New Roman" w:ascii="Times New Roman" w:hAnsi="Times New Roman"/>
                <w:sz w:val="20"/>
                <w:szCs w:val="20"/>
                <w:highlight w:val="white"/>
              </w:rPr>
              <w:t>ом</w:t>
            </w:r>
            <w:r>
              <w:rPr>
                <w:rFonts w:eastAsia="Times New Roman" w:cs="Times New Roman" w:ascii="Times New Roman" w:hAnsi="Times New Roman"/>
                <w:color w:val="000000"/>
                <w:sz w:val="20"/>
                <w:szCs w:val="20"/>
                <w:highlight w:val="white"/>
              </w:rPr>
              <w:t xml:space="preserve">, який зазначено </w:t>
            </w:r>
            <w:r>
              <w:rPr>
                <w:rFonts w:eastAsia="Times New Roman" w:cs="Times New Roman" w:ascii="Times New Roman" w:hAnsi="Times New Roman"/>
                <w:sz w:val="20"/>
                <w:szCs w:val="20"/>
                <w:highlight w:val="white"/>
              </w:rPr>
              <w:t>в</w:t>
            </w:r>
            <w:r>
              <w:rPr>
                <w:rFonts w:eastAsia="Times New Roman" w:cs="Times New Roman" w:ascii="Times New Roman" w:hAnsi="Times New Roman"/>
                <w:color w:val="000000"/>
                <w:sz w:val="20"/>
                <w:szCs w:val="20"/>
                <w:highlight w:val="white"/>
              </w:rPr>
              <w:t xml:space="preserve"> довідці та надано у складі тендерної пр</w:t>
            </w:r>
            <w:r>
              <w:rPr>
                <w:rFonts w:eastAsia="Times New Roman" w:cs="Times New Roman" w:ascii="Times New Roman" w:hAnsi="Times New Roman"/>
                <w:color w:val="000000"/>
                <w:sz w:val="20"/>
                <w:szCs w:val="20"/>
              </w:rPr>
              <w:t xml:space="preserve">опозиції про належне виконання цього договору. </w:t>
            </w:r>
          </w:p>
          <w:p>
            <w:pPr>
              <w:pStyle w:val="LOnormal"/>
              <w:widowControl w:val="false"/>
              <w:spacing w:lineRule="auto" w:line="240" w:before="0" w:after="0"/>
              <w:rPr>
                <w:rFonts w:ascii="Times New Roman" w:hAnsi="Times New Roman" w:eastAsia="Times New Roman" w:cs="Times New Roman"/>
                <w:color w:val="4A86E8"/>
                <w:sz w:val="20"/>
                <w:szCs w:val="20"/>
              </w:rPr>
            </w:pPr>
            <w:r>
              <w:rPr>
                <w:rFonts w:eastAsia="Times New Roman" w:cs="Times New Roman" w:ascii="Times New Roman" w:hAnsi="Times New Roman"/>
                <w:color w:val="4A86E8"/>
                <w:sz w:val="20"/>
                <w:szCs w:val="20"/>
              </w:rPr>
            </w:r>
          </w:p>
          <w:p>
            <w:pPr>
              <w:pStyle w:val="LOnormal"/>
              <w:widowControl w:val="false"/>
              <w:jc w:val="both"/>
              <w:rPr>
                <w:rFonts w:ascii="Times New Roman" w:hAnsi="Times New Roman"/>
                <w:sz w:val="20"/>
                <w:szCs w:val="20"/>
              </w:rPr>
            </w:pPr>
            <w:r>
              <w:rPr>
                <w:rFonts w:ascii="Times New Roman" w:hAnsi="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Інформація та документи можуть надаватися про частково виконаний  договір, дія якого не закінчена.</w:t>
            </w:r>
          </w:p>
        </w:tc>
      </w:tr>
    </w:tbl>
    <w:p>
      <w:pPr>
        <w:pStyle w:val="LO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LOnormal"/>
        <w:spacing w:lineRule="auto" w:line="240" w:before="120" w:after="240"/>
        <w:ind w:firstLine="720"/>
        <w:jc w:val="both"/>
        <w:rPr>
          <w:shd w:fill="auto" w:val="clear"/>
        </w:rPr>
      </w:pPr>
      <w:r>
        <w:rPr>
          <w:rFonts w:eastAsia="Times New Roman" w:cs="Times New Roman" w:ascii="Times New Roman" w:hAnsi="Times New Roman"/>
          <w:i/>
          <w:sz w:val="20"/>
          <w:szCs w:val="20"/>
          <w:shd w:fill="auto" w:val="clear"/>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eastAsia="Times New Roman" w:cs="Times New Roman" w:ascii="Times New Roman" w:hAnsi="Times New Roman"/>
          <w:b/>
          <w:i/>
          <w:sz w:val="20"/>
          <w:szCs w:val="20"/>
          <w:shd w:fill="auto" w:val="clear"/>
        </w:rPr>
        <w:t>(наявність обладнання, матеріально-технічної бази та технологій)</w:t>
      </w:r>
      <w:r>
        <w:rPr>
          <w:rFonts w:eastAsia="Times New Roman" w:cs="Times New Roman" w:ascii="Times New Roman" w:hAnsi="Times New Roman"/>
          <w:i/>
          <w:sz w:val="20"/>
          <w:szCs w:val="20"/>
          <w:shd w:fill="auto" w:val="clear"/>
        </w:rPr>
        <w:t xml:space="preserve"> і 2 </w:t>
      </w:r>
      <w:r>
        <w:rPr>
          <w:rFonts w:eastAsia="Times New Roman" w:cs="Times New Roman" w:ascii="Times New Roman" w:hAnsi="Times New Roman"/>
          <w:b/>
          <w:i/>
          <w:sz w:val="20"/>
          <w:szCs w:val="20"/>
          <w:shd w:fill="auto" w:val="clear"/>
        </w:rPr>
        <w:t>(наявність працівників відповідної кваліфікації, які мають необхідні знання та досвід)</w:t>
      </w:r>
      <w:r>
        <w:rPr>
          <w:rFonts w:eastAsia="Times New Roman" w:cs="Times New Roman" w:ascii="Times New Roman" w:hAnsi="Times New Roman"/>
          <w:i/>
          <w:sz w:val="20"/>
          <w:szCs w:val="20"/>
          <w:shd w:fill="auto" w:val="clear"/>
        </w:rPr>
        <w:t xml:space="preserve"> частини другої статті 16 Закону замовником не застосовуються.</w:t>
      </w:r>
    </w:p>
    <w:p>
      <w:pPr>
        <w:pStyle w:val="LOnormal"/>
        <w:spacing w:lineRule="auto" w:line="240" w:before="20" w:after="20"/>
        <w:jc w:val="center"/>
        <w:rPr>
          <w:rFonts w:ascii="Times New Roman" w:hAnsi="Times New Roman" w:eastAsia="Times New Roman" w:cs="Times New Roman"/>
          <w:b/>
          <w:b/>
          <w:highlight w:val="white"/>
        </w:rPr>
      </w:pPr>
      <w:r>
        <w:rPr>
          <w:rFonts w:eastAsia="Times New Roman" w:cs="Times New Roman" w:ascii="Times New Roman" w:hAnsi="Times New Roman"/>
          <w:b/>
          <w:sz w:val="20"/>
          <w:szCs w:val="20"/>
        </w:rPr>
        <w:t xml:space="preserve">2. Підтвердження відповідності УЧАСНИКА </w:t>
      </w:r>
      <w:r>
        <w:rPr>
          <w:rFonts w:eastAsia="Times New Roman" w:cs="Times New Roman" w:ascii="Times New Roman" w:hAnsi="Times New Roman"/>
          <w:b/>
        </w:rPr>
        <w:t>(в тому числі для об’єднання учасників як учасника процедури)  вимогам, визначени</w:t>
      </w:r>
      <w:r>
        <w:rPr>
          <w:rFonts w:eastAsia="Times New Roman" w:cs="Times New Roman" w:ascii="Times New Roman" w:hAnsi="Times New Roman"/>
          <w:b/>
          <w:highlight w:val="white"/>
        </w:rPr>
        <w:t xml:space="preserve">м у пункті </w:t>
      </w:r>
      <w:r>
        <w:rPr>
          <w:rFonts w:ascii="Times New Roman" w:hAnsi="Times New Roman"/>
          <w:b/>
          <w:bCs/>
          <w:sz w:val="20"/>
          <w:szCs w:val="20"/>
        </w:rPr>
        <w:t>47</w:t>
      </w:r>
      <w:r>
        <w:rPr>
          <w:rFonts w:eastAsia="Times New Roman" w:cs="Times New Roman" w:ascii="Times New Roman" w:hAnsi="Times New Roman"/>
          <w:b/>
          <w:highlight w:val="white"/>
        </w:rPr>
        <w:t xml:space="preserve"> Особливостей.</w:t>
      </w:r>
    </w:p>
    <w:p>
      <w:pPr>
        <w:pStyle w:val="LO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LO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LO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LO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z w:val="20"/>
          <w:szCs w:val="20"/>
        </w:rPr>
        <w:t>47</w:t>
      </w:r>
      <w:r>
        <w:rPr>
          <w:rFonts w:eastAsia="Times New Roman" w:cs="Times New Roman" w:ascii="Times New Roman" w:hAnsi="Times New Roman"/>
          <w:sz w:val="20"/>
          <w:szCs w:val="20"/>
          <w:highlight w:val="white"/>
        </w:rPr>
        <w:t xml:space="preserve">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LO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LOnormal"/>
        <w:widowControl w:val="false"/>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p>
      <w:pPr>
        <w:pStyle w:val="LOnormal"/>
        <w:spacing w:lineRule="auto" w:line="240" w:before="80" w:after="0"/>
        <w:ind w:firstLine="72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spacing w:lineRule="auto" w:line="240" w:before="80" w:after="0"/>
        <w:ind w:firstLine="720"/>
        <w:jc w:val="both"/>
        <w:rPr>
          <w:rFonts w:ascii="Times New Roman" w:hAnsi="Times New Roman" w:eastAsia="Times New Roman" w:cs="Times New Roman"/>
          <w:b/>
          <w:b/>
        </w:rPr>
      </w:pPr>
      <w:r>
        <w:rPr>
          <w:rFonts w:eastAsia="Times New Roman" w:cs="Times New Roman" w:ascii="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pPr>
        <w:pStyle w:val="LO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LOnormal"/>
        <w:widowControl w:val="false"/>
        <w:spacing w:lineRule="auto" w:line="240" w:before="0" w:after="0"/>
        <w:ind w:firstLine="567"/>
        <w:jc w:val="both"/>
        <w:rPr>
          <w:shd w:fill="auto" w:val="clear"/>
        </w:rPr>
      </w:pPr>
      <w:r>
        <w:rPr>
          <w:rFonts w:eastAsia="Times New Roman" w:cs="Times New Roman" w:ascii="Times New Roman" w:hAnsi="Times New Roman"/>
          <w:sz w:val="20"/>
          <w:szCs w:val="20"/>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
        <w:spacing w:lineRule="auto" w:line="240" w:before="0" w:after="0"/>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highlight w:val="yellow"/>
        </w:rPr>
      </w:r>
    </w:p>
    <w:p>
      <w:pPr>
        <w:pStyle w:val="LO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b/>
          <w:sz w:val="20"/>
          <w:szCs w:val="20"/>
        </w:rPr>
        <w:t>3.1. Документи, які надаються  ПЕРЕМОЖЦЕМ (юридичною особою):</w:t>
      </w:r>
    </w:p>
    <w:tbl>
      <w:tblPr>
        <w:tblStyle w:val="Table2"/>
        <w:tblW w:w="9618" w:type="dxa"/>
        <w:jc w:val="left"/>
        <w:tblInd w:w="-100" w:type="dxa"/>
        <w:tblLayout w:type="fixed"/>
        <w:tblCellMar>
          <w:top w:w="100" w:type="dxa"/>
          <w:left w:w="100" w:type="dxa"/>
          <w:bottom w:w="100" w:type="dxa"/>
          <w:right w:w="100" w:type="dxa"/>
        </w:tblCellMar>
        <w:tblLook w:val="0400"/>
      </w:tblPr>
      <w:tblGrid>
        <w:gridCol w:w="758"/>
        <w:gridCol w:w="4353"/>
        <w:gridCol w:w="4507"/>
      </w:tblGrid>
      <w:tr>
        <w:trPr>
          <w:trHeight w:val="1005" w:hRule="atLeast"/>
        </w:trPr>
        <w:tc>
          <w:tcPr>
            <w:tcW w:w="75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35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 47 Особливостей</w:t>
            </w:r>
          </w:p>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450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35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76"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pPr>
              <w:pStyle w:val="LOnormal"/>
              <w:widowControl w:val="false"/>
              <w:spacing w:lineRule="auto" w:line="276"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highlight w:val="white"/>
              </w:rPr>
              <w:t xml:space="preserve"> </w:t>
            </w:r>
            <w:r>
              <w:rPr>
                <w:rFonts w:eastAsia="Times New Roman" w:cs="Times New Roman" w:ascii="Times New Roman" w:hAnsi="Times New Roman"/>
                <w:i/>
                <w:sz w:val="20"/>
                <w:szCs w:val="20"/>
                <w:highlight w:val="white"/>
              </w:rPr>
              <w:t>свою роботу, так і відкриватись, поновлюватись у період воєнного стану.</w:t>
            </w:r>
          </w:p>
          <w:p>
            <w:pPr>
              <w:pStyle w:val="LOnormal"/>
              <w:widowControl w:val="false"/>
              <w:spacing w:lineRule="auto" w:line="252" w:before="0" w:after="0"/>
              <w:ind w:right="14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highlight w:val="white"/>
              </w:rPr>
              <w:t>керівника учасника</w:t>
            </w:r>
            <w:r>
              <w:rPr>
                <w:rFonts w:eastAsia="Times New Roman" w:cs="Times New Roman"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trPr>
          <w:trHeight w:val="2152" w:hRule="atLeast"/>
        </w:trPr>
        <w:tc>
          <w:tcPr>
            <w:tcW w:w="75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35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LOnormal"/>
              <w:widowControl w:val="false"/>
              <w:spacing w:lineRule="auto" w:line="240"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(підпункт 6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507" w:type="dxa"/>
            <w:vMerge w:val="restart"/>
            <w:tcBorders>
              <w:top w:val="single" w:sz="8" w:space="0" w:color="000000"/>
              <w:left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r>
              <w:rPr>
                <w:rFonts w:eastAsia="Times New Roman" w:cs="Times New Roman" w:ascii="Times New Roman" w:hAnsi="Times New Roman"/>
                <w:sz w:val="20"/>
                <w:szCs w:val="20"/>
              </w:rPr>
              <w:t> </w:t>
            </w:r>
          </w:p>
        </w:tc>
      </w:tr>
      <w:tr>
        <w:trPr>
          <w:trHeight w:val="2535" w:hRule="atLeast"/>
        </w:trPr>
        <w:tc>
          <w:tcPr>
            <w:tcW w:w="75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35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12 пункт</w:t>
            </w:r>
            <w:r>
              <w:rPr>
                <w:rFonts w:eastAsia="Times New Roman" w:cs="Times New Roman" w:ascii="Times New Roman" w:hAnsi="Times New Roman"/>
                <w:b/>
                <w:color w:val="00B050"/>
                <w:sz w:val="20"/>
                <w:szCs w:val="20"/>
              </w:rPr>
              <w:t xml:space="preserve">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507" w:type="dxa"/>
            <w:vMerge w:val="continue"/>
            <w:tcBorders>
              <w:top w:val="single" w:sz="8" w:space="0" w:color="000000"/>
              <w:left w:val="single" w:sz="8" w:space="0" w:color="000000"/>
              <w:right w:val="single" w:sz="8" w:space="0" w:color="000000"/>
            </w:tcBorders>
          </w:tcPr>
          <w:p>
            <w:pPr>
              <w:pStyle w:val="LO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5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35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(абзац 14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348"/>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LO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3.2. Документи, які надаються ПЕРЕМОЖЦЕМ (фізичною особою чи фізичною особою — підприємцем):</w:t>
      </w:r>
    </w:p>
    <w:tbl>
      <w:tblPr>
        <w:tblStyle w:val="Table3"/>
        <w:tblW w:w="9619" w:type="dxa"/>
        <w:jc w:val="left"/>
        <w:tblInd w:w="-100" w:type="dxa"/>
        <w:tblLayout w:type="fixed"/>
        <w:tblCellMar>
          <w:top w:w="100" w:type="dxa"/>
          <w:left w:w="100" w:type="dxa"/>
          <w:bottom w:w="100" w:type="dxa"/>
          <w:right w:w="100" w:type="dxa"/>
        </w:tblCellMar>
        <w:tblLook w:val="0400"/>
      </w:tblPr>
      <w:tblGrid>
        <w:gridCol w:w="580"/>
        <w:gridCol w:w="4434"/>
        <w:gridCol w:w="4605"/>
      </w:tblGrid>
      <w:tr>
        <w:trPr>
          <w:trHeight w:val="825" w:hRule="atLeast"/>
        </w:trPr>
        <w:tc>
          <w:tcPr>
            <w:tcW w:w="58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43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пункту 47 Особливостей</w:t>
            </w:r>
          </w:p>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60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43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(підпункт 3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76"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pPr>
              <w:pStyle w:val="LOnormal"/>
              <w:widowControl w:val="false"/>
              <w:spacing w:lineRule="auto" w:line="276" w:before="0" w:after="0"/>
              <w:ind w:right="14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свою роботу, так і відкриватись, поновлюватись у період воєнного стану.</w:t>
            </w:r>
          </w:p>
          <w:p>
            <w:pPr>
              <w:pStyle w:val="LOnormal"/>
              <w:widowControl w:val="false"/>
              <w:spacing w:lineRule="auto" w:line="240" w:before="0" w:after="0"/>
              <w:ind w:right="14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rPr>
              <w:t>фізичної особи</w:t>
            </w:r>
            <w:r>
              <w:rPr>
                <w:rFonts w:eastAsia="Times New Roman" w:cs="Times New Roman" w:ascii="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trPr>
          <w:trHeight w:val="2152" w:hRule="atLeast"/>
        </w:trPr>
        <w:tc>
          <w:tcPr>
            <w:tcW w:w="58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43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LOnormal"/>
              <w:widowControl w:val="false"/>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(підпункт 5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p>
        </w:tc>
      </w:tr>
      <w:tr>
        <w:trPr>
          <w:trHeight w:val="1635" w:hRule="atLeast"/>
        </w:trPr>
        <w:tc>
          <w:tcPr>
            <w:tcW w:w="58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3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(підпункт 12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605" w:type="dxa"/>
            <w:vMerge w:val="continue"/>
            <w:tcBorders>
              <w:top w:val="single" w:sz="8" w:space="0" w:color="000000"/>
              <w:left w:val="single" w:sz="8" w:space="0" w:color="000000"/>
              <w:right w:val="single" w:sz="8" w:space="0" w:color="000000"/>
            </w:tcBorders>
          </w:tcPr>
          <w:p>
            <w:pPr>
              <w:pStyle w:val="LO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122" w:hRule="atLeast"/>
        </w:trPr>
        <w:tc>
          <w:tcPr>
            <w:tcW w:w="58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3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LOnormal"/>
              <w:widowControl w:val="false"/>
              <w:spacing w:lineRule="auto" w:line="240" w:before="0" w:after="0"/>
              <w:jc w:val="both"/>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rPr>
              <w:t xml:space="preserve">(абзац 14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LOnormal"/>
        <w:shd w:val="clear" w:fill="FFFFFF"/>
        <w:spacing w:lineRule="auto" w:line="240" w:before="120" w:after="0"/>
        <w:jc w:val="both"/>
        <w:rPr>
          <w:rFonts w:ascii="Times New Roman" w:hAnsi="Times New Roman" w:eastAsia="Times New Roman" w:cs="Times New Roman"/>
          <w:b/>
          <w:b/>
          <w:i/>
          <w:i/>
          <w:color w:val="4A86E8"/>
          <w:sz w:val="20"/>
          <w:szCs w:val="20"/>
          <w:highlight w:val="white"/>
        </w:rPr>
      </w:pPr>
      <w:r>
        <w:rPr>
          <w:rFonts w:eastAsia="Times New Roman" w:cs="Times New Roman" w:ascii="Times New Roman" w:hAnsi="Times New Roman"/>
          <w:b/>
          <w:i/>
          <w:color w:val="4A86E8"/>
          <w:sz w:val="20"/>
          <w:szCs w:val="20"/>
          <w:highlight w:val="white"/>
        </w:rPr>
      </w:r>
    </w:p>
    <w:p>
      <w:pPr>
        <w:pStyle w:val="LOnormal"/>
        <w:shd w:val="clear" w:fill="FFFFFF"/>
        <w:spacing w:lineRule="auto" w:line="240" w:before="120" w:after="0"/>
        <w:ind w:left="0" w:hanging="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r>
        <w:rPr>
          <w:rFonts w:eastAsia="Times New Roman" w:cs="Times New Roman" w:ascii="Times New Roman" w:hAnsi="Times New Roman"/>
          <w:b/>
          <w:sz w:val="20"/>
          <w:szCs w:val="20"/>
        </w:rPr>
        <w:t>.</w:t>
      </w:r>
    </w:p>
    <w:tbl>
      <w:tblPr>
        <w:tblStyle w:val="Table4"/>
        <w:tblW w:w="9619" w:type="dxa"/>
        <w:jc w:val="left"/>
        <w:tblInd w:w="-100"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fill="CCCCCC" w:val="clear"/>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0"/>
              <w:jc w:val="both"/>
              <w:rPr>
                <w:rFonts w:ascii="Times New Roman" w:hAnsi="Times New Roman"/>
                <w:shd w:fill="FFFFFF" w:val="clear"/>
              </w:rPr>
            </w:pPr>
            <w:r>
              <w:rPr>
                <w:rFonts w:eastAsia="Times New Roman" w:cs="Times New Roman" w:ascii="Times New Roman" w:hAnsi="Times New Roman"/>
                <w:sz w:val="20"/>
                <w:szCs w:val="20"/>
                <w:shd w:fill="FFFFFF" w:val="clear"/>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hAnsi="Times New Roman"/>
                <w:sz w:val="20"/>
                <w:szCs w:val="20"/>
                <w:shd w:fill="FFFFFF" w:val="clear"/>
              </w:rPr>
              <w:t>Ісламської Республіки Іран</w:t>
            </w:r>
            <w:r>
              <w:rPr>
                <w:rFonts w:eastAsia="Times New Roman" w:cs="Times New Roman" w:ascii="Times New Roman" w:hAnsi="Times New Roman"/>
                <w:color w:val="00B050"/>
                <w:sz w:val="24"/>
                <w:szCs w:val="24"/>
                <w:shd w:fill="FFFFFF" w:val="clear"/>
              </w:rPr>
              <w:t xml:space="preserve"> </w:t>
            </w:r>
            <w:r>
              <w:rPr>
                <w:rFonts w:eastAsia="Times New Roman" w:cs="Times New Roman" w:ascii="Times New Roman" w:hAnsi="Times New Roman"/>
                <w:sz w:val="20"/>
                <w:szCs w:val="20"/>
                <w:shd w:fill="FFFFFF" w:val="clear"/>
              </w:rPr>
              <w:t>та проживає на території України на законних підставах, учасник у складі тендерної пропозиції має надати стосовно таких осіб:</w:t>
            </w:r>
          </w:p>
          <w:p>
            <w:pPr>
              <w:pStyle w:val="Normal"/>
              <w:widowControl w:val="false"/>
              <w:spacing w:lineRule="auto" w:line="240" w:before="0" w:after="0"/>
              <w:ind w:left="0" w:hanging="0"/>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 xml:space="preserve"> • </w:t>
            </w:r>
            <w:r>
              <w:rPr>
                <w:rFonts w:eastAsia="Times New Roman" w:cs="Times New Roman" w:ascii="Times New Roman" w:hAnsi="Times New Roman"/>
                <w:sz w:val="20"/>
                <w:szCs w:val="20"/>
                <w:shd w:fill="FFFFFF" w:val="clear"/>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ascii="Times New Roman" w:hAnsi="Times New Roman"/>
                <w:i/>
                <w:sz w:val="20"/>
                <w:szCs w:val="20"/>
                <w:shd w:fill="FFFFFF" w:val="clear"/>
              </w:rPr>
              <w:t>або</w:t>
            </w:r>
            <w:r>
              <w:rPr>
                <w:rFonts w:eastAsia="Times New Roman" w:cs="Times New Roman" w:ascii="Times New Roman" w:hAnsi="Times New Roman"/>
                <w:sz w:val="20"/>
                <w:szCs w:val="20"/>
                <w:shd w:fill="FFFFFF" w:val="clear"/>
              </w:rPr>
              <w:br/>
              <w:t xml:space="preserve"> • посвідчення біженця чи документ, що підтверджує надання притулку в Україні,</w:t>
              <w:br/>
              <w:t xml:space="preserve"> </w:t>
            </w:r>
            <w:r>
              <w:rPr>
                <w:rFonts w:eastAsia="Times New Roman" w:cs="Times New Roman" w:ascii="Times New Roman" w:hAnsi="Times New Roman"/>
                <w:i/>
                <w:sz w:val="20"/>
                <w:szCs w:val="20"/>
                <w:shd w:fill="FFFFFF" w:val="clear"/>
              </w:rPr>
              <w:t>або</w:t>
              <w:br/>
            </w:r>
            <w:r>
              <w:rPr>
                <w:rFonts w:eastAsia="Times New Roman" w:cs="Times New Roman" w:ascii="Times New Roman" w:hAnsi="Times New Roman"/>
                <w:sz w:val="20"/>
                <w:szCs w:val="20"/>
                <w:shd w:fill="FFFFFF" w:val="clear"/>
              </w:rPr>
              <w:t xml:space="preserve"> • посвідчення особи, яка потребує додаткового захисту в Україні,</w:t>
              <w:br/>
            </w:r>
            <w:r>
              <w:rPr>
                <w:rFonts w:eastAsia="Times New Roman" w:cs="Times New Roman" w:ascii="Times New Roman" w:hAnsi="Times New Roman"/>
                <w:i/>
                <w:sz w:val="20"/>
                <w:szCs w:val="20"/>
                <w:shd w:fill="FFFFFF" w:val="clear"/>
              </w:rPr>
              <w:t xml:space="preserve"> або</w:t>
            </w:r>
            <w:r>
              <w:rPr>
                <w:rFonts w:eastAsia="Times New Roman" w:cs="Times New Roman" w:ascii="Times New Roman" w:hAnsi="Times New Roman"/>
                <w:sz w:val="20"/>
                <w:szCs w:val="20"/>
                <w:shd w:fill="FFFFFF" w:val="clear"/>
              </w:rPr>
              <w:br/>
              <w:t xml:space="preserve"> •    посвідчення особи, якій надано тимчасовий захист в Україні,</w:t>
              <w:br/>
            </w:r>
            <w:r>
              <w:rPr>
                <w:rFonts w:eastAsia="Times New Roman" w:cs="Times New Roman" w:ascii="Times New Roman" w:hAnsi="Times New Roman"/>
                <w:i/>
                <w:sz w:val="20"/>
                <w:szCs w:val="20"/>
                <w:shd w:fill="FFFFFF" w:val="clear"/>
              </w:rPr>
              <w:t xml:space="preserve"> або</w:t>
            </w:r>
            <w:r>
              <w:rPr>
                <w:rFonts w:eastAsia="Times New Roman" w:cs="Times New Roman" w:ascii="Times New Roman" w:hAnsi="Times New Roman"/>
                <w:sz w:val="20"/>
                <w:szCs w:val="20"/>
                <w:shd w:fill="FFFFFF" w:val="clear"/>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br/>
              <w:t xml:space="preserve"> • Ухвалу слідчого судді, суду, щодо арешту активів,</w:t>
              <w:br/>
            </w:r>
            <w:r>
              <w:rPr>
                <w:rFonts w:eastAsia="Times New Roman" w:cs="Times New Roman" w:ascii="Times New Roman" w:hAnsi="Times New Roman"/>
                <w:i/>
                <w:sz w:val="20"/>
                <w:szCs w:val="20"/>
                <w:shd w:fill="FFFFFF" w:val="clear"/>
              </w:rPr>
              <w:t xml:space="preserve"> або</w:t>
              <w:br/>
            </w:r>
            <w:r>
              <w:rPr>
                <w:rFonts w:eastAsia="Times New Roman" w:cs="Times New Roman" w:ascii="Times New Roman" w:hAnsi="Times New Roman"/>
                <w:sz w:val="20"/>
                <w:szCs w:val="20"/>
                <w:shd w:fill="FFFFFF" w:val="clear"/>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ascii="Times New Roman" w:hAnsi="Times New Roman"/>
                <w:i/>
                <w:sz w:val="20"/>
                <w:szCs w:val="20"/>
                <w:shd w:fill="FFFFFF" w:val="clear"/>
              </w:rPr>
              <w:t>або</w:t>
              <w:br/>
            </w:r>
            <w:r>
              <w:rPr>
                <w:rFonts w:eastAsia="Times New Roman" w:cs="Times New Roman" w:ascii="Times New Roman" w:hAnsi="Times New Roman"/>
                <w:sz w:val="20"/>
                <w:szCs w:val="20"/>
                <w:shd w:fill="FFFFFF" w:val="clear"/>
              </w:rPr>
              <w:t xml:space="preserve"> • рішення Кабінету Міністрів України, щодо управління активами, на які накладено арешт у кримінальному провадженні.</w:t>
            </w:r>
          </w:p>
        </w:tc>
      </w:tr>
    </w:tbl>
    <w:p>
      <w:pPr>
        <w:pStyle w:val="LO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pacing w:lineRule="auto" w:line="240" w:before="0" w:after="0"/>
        <w:jc w:val="both"/>
        <w:rPr>
          <w:rFonts w:ascii="Times New Roman" w:hAnsi="Times New Roman" w:eastAsia="Times New Roman" w:cs="Times New Roman"/>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LOnormal"/>
    <w:next w:val="LOnormal"/>
    <w:qFormat/>
    <w:pPr>
      <w:keepNext w:val="true"/>
      <w:keepLines/>
      <w:spacing w:lineRule="auto" w:line="240" w:before="480" w:after="120"/>
    </w:pPr>
    <w:rPr>
      <w:b/>
      <w:sz w:val="48"/>
      <w:szCs w:val="48"/>
    </w:rPr>
  </w:style>
  <w:style w:type="paragraph" w:styleId="2">
    <w:name w:val="Heading 2"/>
    <w:basedOn w:val="LOnormal"/>
    <w:next w:val="LOnormal"/>
    <w:qFormat/>
    <w:pPr>
      <w:keepNext w:val="true"/>
      <w:keepLines/>
      <w:spacing w:lineRule="auto" w:line="240" w:before="360" w:after="80"/>
    </w:pPr>
    <w:rPr>
      <w:b/>
      <w:sz w:val="36"/>
      <w:szCs w:val="36"/>
    </w:rPr>
  </w:style>
  <w:style w:type="paragraph" w:styleId="3">
    <w:name w:val="Heading 3"/>
    <w:basedOn w:val="LOnormal"/>
    <w:next w:val="LOnormal"/>
    <w:qFormat/>
    <w:pPr>
      <w:keepNext w:val="true"/>
      <w:keepLines/>
      <w:spacing w:lineRule="auto" w:line="240" w:before="280" w:after="80"/>
    </w:pPr>
    <w:rPr>
      <w:b/>
      <w:sz w:val="28"/>
      <w:szCs w:val="28"/>
    </w:rPr>
  </w:style>
  <w:style w:type="paragraph" w:styleId="4">
    <w:name w:val="Heading 4"/>
    <w:basedOn w:val="LOnormal"/>
    <w:next w:val="LOnormal"/>
    <w:qFormat/>
    <w:pPr>
      <w:keepNext w:val="true"/>
      <w:keepLines/>
      <w:spacing w:lineRule="auto" w:line="240" w:before="240" w:after="40"/>
    </w:pPr>
    <w:rPr>
      <w:b/>
      <w:sz w:val="24"/>
      <w:szCs w:val="24"/>
    </w:rPr>
  </w:style>
  <w:style w:type="paragraph" w:styleId="5">
    <w:name w:val="Heading 5"/>
    <w:basedOn w:val="LOnormal"/>
    <w:next w:val="LOnormal"/>
    <w:qFormat/>
    <w:pPr>
      <w:keepNext w:val="true"/>
      <w:keepLines/>
      <w:spacing w:lineRule="auto" w:line="240" w:before="220" w:after="40"/>
    </w:pPr>
    <w:rPr>
      <w:b/>
    </w:rPr>
  </w:style>
  <w:style w:type="paragraph" w:styleId="6">
    <w:name w:val="Heading 6"/>
    <w:basedOn w:val="LOnormal"/>
    <w:next w:val="LOnormal"/>
    <w:qFormat/>
    <w:pPr>
      <w:keepNext w:val="true"/>
      <w:keepLines/>
      <w:spacing w:lineRule="auto" w:line="240" w:before="200" w:after="40"/>
    </w:pPr>
    <w:rPr>
      <w:b/>
      <w:sz w:val="20"/>
      <w:szCs w:val="20"/>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3">
    <w:name w:val="Title"/>
    <w:basedOn w:val="LOnormal"/>
    <w:next w:val="LOnormal"/>
    <w:qFormat/>
    <w:pPr>
      <w:keepNext w:val="true"/>
      <w:keepLines/>
      <w:spacing w:lineRule="auto" w:line="240" w:before="480" w:after="120"/>
    </w:pPr>
    <w:rPr>
      <w:b/>
      <w:sz w:val="72"/>
      <w:szCs w:val="72"/>
    </w:rPr>
  </w:style>
  <w:style w:type="paragraph" w:styleId="Style14">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10</TotalTime>
  <Application>LibreOffice/7.1.6.2$Windows_X86_64 LibreOffice_project/0e133318fcee89abacd6a7d077e292f1145735c3</Application>
  <AppVersion>15.0000</AppVersion>
  <Pages>2</Pages>
  <Words>2032</Words>
  <Characters>13877</Characters>
  <CharactersWithSpaces>15899</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2024-04-03T15:52:13Z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