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rFonts w:ascii="Times New Roman" w:hAnsi="Times New Roman" w:eastAsia="Times New Roman" w:cs="Times New Roman"/>
          <w:b/>
          <w:b/>
          <w:i w:val="false"/>
          <w:i w:val="false"/>
          <w:iCs w:val="false"/>
          <w:color w:val="auto"/>
          <w:kern w:val="0"/>
          <w:sz w:val="24"/>
          <w:szCs w:val="24"/>
          <w:shd w:fill="auto" w:val="clear"/>
          <w:lang w:val="uk-UA" w:eastAsia="zh-CN" w:bidi="hi-IN"/>
        </w:rPr>
      </w:pPr>
      <w:r>
        <w:rPr>
          <w:rFonts w:eastAsia="Times New Roman" w:cs="Times New Roman" w:ascii="Times New Roman" w:hAnsi="Times New Roman"/>
          <w:b/>
          <w:i w:val="false"/>
          <w:iCs w:val="false"/>
          <w:color w:val="000000"/>
          <w:kern w:val="0"/>
          <w:sz w:val="24"/>
          <w:szCs w:val="24"/>
          <w:shd w:fill="auto" w:val="clear"/>
          <w:lang w:val="uk-UA" w:eastAsia="zh-CN" w:bidi="hi-IN"/>
        </w:rPr>
        <w:t xml:space="preserve">         </w:t>
      </w:r>
      <w:r>
        <w:rPr>
          <w:rFonts w:eastAsia="Times New Roman" w:cs="Times New Roman" w:ascii="Times New Roman" w:hAnsi="Times New Roman"/>
          <w:b/>
          <w:i w:val="false"/>
          <w:iCs w:val="false"/>
          <w:color w:val="000000"/>
          <w:kern w:val="0"/>
          <w:sz w:val="24"/>
          <w:szCs w:val="24"/>
          <w:shd w:fill="auto" w:val="clear"/>
          <w:lang w:val="uk-UA" w:eastAsia="zh-CN" w:bidi="hi-IN"/>
        </w:rPr>
        <w:t>КОМУНАЛЬНЕ  ПІДПРИЄМСТВО “СОКАЛЬЖИТЛОКОМУНСЕРВІС”</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bCs/>
          <w:color w:val="000000"/>
          <w:sz w:val="24"/>
          <w:szCs w:val="24"/>
          <w:highlight w:val="white"/>
        </w:rPr>
        <w:t>«ЗАТВЕРДЖЕНО»</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000000"/>
          <w:sz w:val="24"/>
          <w:szCs w:val="24"/>
          <w:highlight w:val="white"/>
        </w:rPr>
        <w:t xml:space="preserve">                                                                    </w:t>
      </w:r>
      <w:r>
        <w:rPr>
          <w:rFonts w:eastAsia="Times New Roman" w:cs="Times New Roman" w:ascii="Times New Roman" w:hAnsi="Times New Roman"/>
          <w:b/>
          <w:bCs/>
          <w:color w:val="000000"/>
          <w:sz w:val="24"/>
          <w:szCs w:val="24"/>
          <w:highlight w:val="white"/>
        </w:rPr>
        <w:t>Протокол Уповноваженої особи</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FF0000"/>
          <w:sz w:val="24"/>
          <w:szCs w:val="24"/>
          <w:highlight w:val="white"/>
        </w:rPr>
        <w:t xml:space="preserve"> </w:t>
      </w:r>
      <w:r>
        <w:rPr>
          <w:rFonts w:ascii="Times New Roman" w:hAnsi="Times New Roman"/>
          <w:b/>
          <w:bCs/>
          <w:sz w:val="24"/>
          <w:szCs w:val="24"/>
        </w:rPr>
        <w:t>КП “Сокальжитлокомунсервіс”</w:t>
      </w:r>
    </w:p>
    <w:p>
      <w:pPr>
        <w:pStyle w:val="Normal"/>
        <w:spacing w:lineRule="auto" w:line="240" w:before="0" w:after="0"/>
        <w:ind w:left="-1418" w:hanging="0"/>
        <w:jc w:val="right"/>
        <w:rPr>
          <w:rFonts w:ascii="Times New Roman" w:hAnsi="Times New Roman"/>
          <w:b/>
          <w:b/>
          <w:bCs/>
        </w:rPr>
      </w:pPr>
      <w:r>
        <w:rPr>
          <w:rFonts w:ascii="Times New Roman" w:hAnsi="Times New Roman"/>
          <w:b/>
          <w:bCs/>
          <w:sz w:val="24"/>
          <w:szCs w:val="24"/>
        </w:rPr>
        <w:t>Мочульська Л.О.</w:t>
      </w:r>
    </w:p>
    <w:p>
      <w:pPr>
        <w:pStyle w:val="Normal"/>
        <w:spacing w:lineRule="auto" w:line="240" w:before="0" w:after="0"/>
        <w:jc w:val="right"/>
        <w:rPr>
          <w:rFonts w:ascii="Times New Roman" w:hAnsi="Times New Roman"/>
          <w:b/>
          <w:b/>
          <w:bCs/>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color w:val="auto"/>
          <w:kern w:val="0"/>
          <w:sz w:val="24"/>
          <w:szCs w:val="24"/>
          <w:lang w:val="uk-UA" w:eastAsia="zh-CN" w:bidi="hi-IN"/>
        </w:rPr>
        <w:t>04 квітня</w:t>
      </w:r>
      <w:r>
        <w:rPr>
          <w:rFonts w:eastAsia="Times New Roman" w:cs="Times New Roman" w:ascii="Times New Roman" w:hAnsi="Times New Roman"/>
          <w:b/>
          <w:bCs/>
          <w:color w:val="000000"/>
          <w:kern w:val="0"/>
          <w:sz w:val="24"/>
          <w:szCs w:val="24"/>
          <w:shd w:fill="auto" w:val="clear"/>
          <w:lang w:val="uk-UA" w:eastAsia="zh-CN" w:bidi="hi-IN"/>
        </w:rPr>
        <w:t xml:space="preserve"> 2024 року №  5</w:t>
      </w:r>
      <w:r>
        <w:rPr>
          <w:rFonts w:eastAsia="Times New Roman" w:cs="Times New Roman" w:ascii="Times New Roman" w:hAnsi="Times New Roman"/>
          <w:b/>
          <w:bCs/>
          <w:color w:val="000000"/>
          <w:kern w:val="0"/>
          <w:sz w:val="24"/>
          <w:szCs w:val="24"/>
          <w:shd w:fill="auto" w:val="clear"/>
          <w:lang w:val="uk-UA" w:eastAsia="zh-CN" w:bidi="hi-IN"/>
        </w:rPr>
        <w:t>8</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eastAsia="Times New Roman" w:cs="Times New Roman" w:ascii="Times New Roman" w:hAnsi="Times New Roman"/>
          <w:b/>
          <w:color w:val="4A86E8"/>
          <w:sz w:val="24"/>
          <w:szCs w:val="24"/>
        </w:rPr>
        <w:t>(з особливостями)</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xml:space="preserve">на закупівлю </w:t>
      </w:r>
      <w:r>
        <w:rPr>
          <w:rFonts w:ascii="Times New Roman" w:hAnsi="Times New Roman"/>
          <w:sz w:val="24"/>
          <w:szCs w:val="24"/>
        </w:rPr>
        <w:t>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32"/>
          <w:szCs w:val="32"/>
          <w:shd w:fill="auto" w:val="clear"/>
        </w:rPr>
        <w:t>Природний газ для потреб мешканців гуртожитку</w:t>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 </w:t>
      </w:r>
      <w:r>
        <w:rPr>
          <w:rFonts w:cs="Times New Roman" w:ascii="Times New Roman" w:hAnsi="Times New Roman"/>
          <w:b/>
          <w:bCs/>
          <w:i w:val="false"/>
          <w:iCs w:val="false"/>
          <w:sz w:val="32"/>
          <w:szCs w:val="32"/>
          <w:shd w:fill="auto" w:val="clear"/>
        </w:rPr>
        <w:t>код за ДК 021:2015: 09120000-6- Газове паливо (Природний газ)</w:t>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 </w:t>
      </w:r>
    </w:p>
    <w:p>
      <w:pPr>
        <w:pStyle w:val="Normal"/>
        <w:spacing w:lineRule="auto" w:line="240" w:before="240" w:after="0"/>
        <w:rPr>
          <w:rFonts w:ascii="Times New Roman" w:hAnsi="Times New Roman"/>
          <w:shd w:fill="auto" w:val="clear"/>
        </w:rPr>
      </w:pPr>
      <w:r>
        <w:rPr>
          <w:rFonts w:ascii="Times New Roman" w:hAnsi="Times New Roman"/>
          <w:shd w:fill="auto"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м. Сокаль</w:t>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2024 рік</w:t>
      </w:r>
    </w:p>
    <w:p>
      <w:pPr>
        <w:pStyle w:val="Normal"/>
        <w:spacing w:lineRule="auto" w:line="240" w:before="0" w:after="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Layout w:type="fixed"/>
        <w:tblCellMar>
          <w:top w:w="0" w:type="dxa"/>
          <w:left w:w="108" w:type="dxa"/>
          <w:bottom w:w="0" w:type="dxa"/>
          <w:right w:w="108" w:type="dxa"/>
        </w:tblCellMar>
        <w:tblLook w:val="0400"/>
      </w:tblPr>
      <w:tblGrid>
        <w:gridCol w:w="705"/>
        <w:gridCol w:w="2796"/>
        <w:gridCol w:w="6459"/>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Комунальне підприємство “Сокальжитлокомунсервіс”</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pPr>
              <w:pStyle w:val="Default"/>
              <w:widowControl w:val="false"/>
              <w:suppressAutoHyphens w:val="true"/>
              <w:spacing w:before="0" w:after="160"/>
              <w:jc w:val="both"/>
              <w:rPr>
                <w:kern w:val="0"/>
                <w:lang w:val="uk-UA"/>
              </w:rPr>
            </w:pPr>
            <w:r>
              <w:rPr>
                <w:kern w:val="0"/>
                <w:lang w:val="uk-UA"/>
              </w:rPr>
              <w:t>Україна, 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suppressAutoHyphens w:val="true"/>
              <w:spacing w:before="0" w:after="0"/>
              <w:jc w:val="left"/>
              <w:rPr>
                <w:kern w:val="0"/>
                <w:lang w:val="uk-UA"/>
              </w:rPr>
            </w:pPr>
            <w:r>
              <w:rPr>
                <w:kern w:val="0"/>
                <w:lang w:val="uk-UA"/>
              </w:rPr>
              <w:t>вул. Героїв УПА 11, м. Сокаль, Львівська обл., 80001,</w:t>
            </w:r>
          </w:p>
          <w:p>
            <w:pPr>
              <w:pStyle w:val="Normal"/>
              <w:widowControl w:val="false"/>
              <w:suppressAutoHyphens w:val="true"/>
              <w:spacing w:before="0" w:after="160"/>
              <w:jc w:val="left"/>
              <w:rPr>
                <w:rFonts w:eastAsia="Calibri" w:cs="Calibri"/>
                <w:kern w:val="0"/>
                <w:lang w:val="uk-UA" w:eastAsia="zh-CN" w:bidi="hi-IN"/>
              </w:rPr>
            </w:pPr>
            <w:r>
              <w:rPr>
                <w:rFonts w:eastAsia="Calibri" w:cs="Calibri" w:ascii="Times New Roman" w:hAnsi="Times New Roman"/>
                <w:kern w:val="0"/>
                <w:sz w:val="24"/>
                <w:szCs w:val="24"/>
                <w:lang w:val="uk-UA" w:eastAsia="zh-CN" w:bidi="hi-IN"/>
              </w:rPr>
              <w:t>тел. +380325773757, 0639761312,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left="0" w:right="0" w:hanging="0"/>
              <w:jc w:val="both"/>
              <w:rPr>
                <w:rFonts w:ascii="Times New Roman" w:hAnsi="Times New Roman"/>
                <w:i w:val="false"/>
                <w:i w:val="false"/>
                <w:iCs w:val="false"/>
                <w:shd w:fill="auto" w:val="clear"/>
              </w:rPr>
            </w:pPr>
            <w:r>
              <w:rPr>
                <w:rFonts w:eastAsia="Times New Roman" w:cs="Times New Roman" w:ascii="Times New Roman" w:hAnsi="Times New Roman"/>
                <w:b/>
                <w:bCs/>
                <w:i w:val="false"/>
                <w:iCs w:val="false"/>
                <w:color w:val="000000"/>
                <w:sz w:val="24"/>
                <w:szCs w:val="24"/>
                <w:shd w:fill="auto" w:val="clear"/>
              </w:rPr>
              <w:t>Природний газ для потреб мешканців гуртожитку</w:t>
            </w:r>
          </w:p>
          <w:p>
            <w:pPr>
              <w:pStyle w:val="Normal"/>
              <w:widowControl w:val="false"/>
              <w:tabs>
                <w:tab w:val="clear" w:pos="720"/>
                <w:tab w:val="left" w:pos="0" w:leader="none"/>
                <w:tab w:val="center" w:pos="4153" w:leader="none"/>
                <w:tab w:val="right" w:pos="8306" w:leader="none"/>
              </w:tabs>
              <w:spacing w:lineRule="auto" w:line="240" w:before="0" w:after="0"/>
              <w:ind w:left="0" w:right="0" w:hanging="0"/>
              <w:jc w:val="both"/>
              <w:rPr>
                <w:rFonts w:ascii="Times New Roman" w:hAnsi="Times New Roman"/>
                <w:sz w:val="24"/>
                <w:szCs w:val="24"/>
              </w:rPr>
            </w:pPr>
            <w:r>
              <w:rPr>
                <w:rFonts w:eastAsia="Times New Roman" w:cs="Times New Roman" w:ascii="Times New Roman" w:hAnsi="Times New Roman"/>
                <w:b/>
                <w:bCs/>
                <w:i w:val="false"/>
                <w:iCs w:val="false"/>
                <w:color w:val="000000"/>
                <w:sz w:val="24"/>
                <w:szCs w:val="24"/>
                <w:shd w:fill="auto" w:val="clear"/>
              </w:rPr>
              <w:t>код за ДК 021:2015: 09120000-6- Газове паливо (Природний газ)</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675" w:hRule="atLeast"/>
        </w:trPr>
        <w:tc>
          <w:tcPr>
            <w:tcW w:w="705"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4.3</w:t>
            </w:r>
          </w:p>
        </w:tc>
        <w:tc>
          <w:tcPr>
            <w:tcW w:w="2796"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Очікувана вартість закупівлі :</w:t>
            </w:r>
          </w:p>
        </w:tc>
        <w:tc>
          <w:tcPr>
            <w:tcW w:w="6459"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color w:val="000000"/>
                <w:kern w:val="0"/>
                <w:sz w:val="24"/>
                <w:szCs w:val="24"/>
                <w:shd w:fill="auto" w:val="clear"/>
                <w:lang w:val="uk-UA" w:eastAsia="zh-CN" w:bidi="hi-IN"/>
              </w:rPr>
              <w:t>18308,00</w:t>
            </w:r>
            <w:r>
              <w:rPr>
                <w:rFonts w:eastAsia="Times New Roman" w:cs="Times New Roman" w:ascii="Times New Roman" w:hAnsi="Times New Roman"/>
                <w:b/>
                <w:bCs/>
                <w:color w:val="000000"/>
                <w:kern w:val="0"/>
                <w:sz w:val="24"/>
                <w:szCs w:val="24"/>
                <w:shd w:fill="auto" w:val="clear"/>
                <w:lang w:val="uk-UA" w:eastAsia="zh-CN" w:bidi="hi-IN"/>
              </w:rPr>
              <w:t xml:space="preserve"> </w:t>
            </w:r>
            <w:r>
              <w:rPr>
                <w:rFonts w:eastAsia="Times New Roman" w:cs="Times New Roman" w:ascii="Times New Roman" w:hAnsi="Times New Roman"/>
                <w:b/>
                <w:bCs/>
                <w:kern w:val="0"/>
                <w:sz w:val="24"/>
                <w:szCs w:val="24"/>
                <w:shd w:fill="auto" w:val="clear"/>
                <w:lang w:val="uk-UA" w:eastAsia="zh-CN" w:bidi="hi-IN"/>
                <w14:ligatures w14:val="none"/>
              </w:rPr>
              <w:t xml:space="preserve"> грн. з ПДВ.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 xml:space="preserve">кількість товару та місце його поставки </w:t>
            </w:r>
            <w:r>
              <w:rPr>
                <w:rFonts w:ascii="Times New Roman" w:hAnsi="Times New Roman"/>
                <w:sz w:val="24"/>
                <w:szCs w:val="24"/>
                <w:lang w:val="uk-UA" w:eastAsia="zh-CN" w:bidi="hi-IN"/>
              </w:rPr>
              <w:t>товару</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59"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Calibri" w:cs="Times New Roman"/>
                <w:sz w:val="24"/>
                <w:szCs w:val="24"/>
                <w:lang w:eastAsia="uk-UA"/>
              </w:rPr>
            </w:pPr>
            <w:r>
              <w:rPr>
                <w:rFonts w:eastAsia="Calibri" w:cs="Times New Roman" w:ascii="Times New Roman" w:hAnsi="Times New Roman"/>
                <w:sz w:val="24"/>
                <w:szCs w:val="24"/>
                <w:lang w:eastAsia="uk-UA"/>
              </w:rPr>
              <w:t xml:space="preserve">Місце поставки товару: </w:t>
            </w:r>
            <w:r>
              <w:rPr>
                <w:rFonts w:eastAsia="Calibri" w:cs="Times New Roman" w:ascii="Times New Roman" w:hAnsi="Times New Roman"/>
                <w:b/>
                <w:bCs/>
                <w:sz w:val="24"/>
                <w:szCs w:val="24"/>
                <w:lang w:eastAsia="uk-UA"/>
              </w:rPr>
              <w:t xml:space="preserve">вул. </w:t>
            </w:r>
            <w:r>
              <w:rPr>
                <w:rFonts w:eastAsia="Calibri" w:cs="Times New Roman" w:ascii="Times New Roman" w:hAnsi="Times New Roman"/>
                <w:b/>
                <w:bCs/>
                <w:color w:val="auto"/>
                <w:sz w:val="24"/>
                <w:szCs w:val="24"/>
                <w:lang w:val="uk-UA" w:eastAsia="uk-UA" w:bidi="ar-SA"/>
              </w:rPr>
              <w:t>Героїв УПА, буд. 20, м. Сокаль,  Червоноградський район, Львівська область, Україна, 80001</w:t>
            </w:r>
          </w:p>
          <w:p>
            <w:pPr>
              <w:pStyle w:val="LOnormal1"/>
              <w:widowControl w:val="false"/>
              <w:spacing w:before="0" w:after="160"/>
              <w:jc w:val="both"/>
              <w:rPr>
                <w:rFonts w:ascii="Times New Roman" w:hAnsi="Times New Roman"/>
                <w:sz w:val="24"/>
                <w:szCs w:val="24"/>
              </w:rPr>
            </w:pPr>
            <w:r>
              <w:rPr>
                <w:rFonts w:eastAsia="Calibri" w:cs="Times New Roman" w:ascii="Times New Roman" w:hAnsi="Times New Roman"/>
                <w:sz w:val="24"/>
                <w:szCs w:val="24"/>
                <w:lang w:eastAsia="uk-UA"/>
              </w:rPr>
              <w:t xml:space="preserve">Обсяг поставки товару:  </w:t>
            </w:r>
            <w:r>
              <w:rPr>
                <w:rFonts w:eastAsia="Calibri" w:cs="Times New Roman" w:ascii="Times New Roman" w:hAnsi="Times New Roman"/>
                <w:b/>
                <w:bCs/>
                <w:sz w:val="24"/>
                <w:szCs w:val="24"/>
                <w:lang w:eastAsia="uk-UA"/>
              </w:rPr>
              <w:t>2,3</w:t>
            </w:r>
            <w:r>
              <w:rPr>
                <w:rFonts w:eastAsia="Times New Roman" w:cs="Times New Roman" w:ascii="Times New Roman" w:hAnsi="Times New Roman"/>
                <w:b/>
                <w:bCs/>
                <w:i w:val="false"/>
                <w:iCs w:val="false"/>
                <w:color w:val="000000"/>
                <w:kern w:val="0"/>
                <w:sz w:val="24"/>
                <w:szCs w:val="24"/>
                <w:shd w:fill="auto" w:val="clear"/>
                <w:lang w:val="uk-UA" w:eastAsia="uk-UA" w:bidi="hi-IN"/>
              </w:rPr>
              <w:t xml:space="preserve"> тис. куб. м</w:t>
            </w:r>
            <w:r>
              <w:rPr>
                <w:rFonts w:eastAsia="Calibri" w:cs="Times New Roman" w:ascii="Times New Roman" w:hAnsi="Times New Roman"/>
                <w:b/>
                <w:bCs/>
                <w:i w:val="false"/>
                <w:iCs w:val="false"/>
                <w:color w:val="000000"/>
                <w:kern w:val="0"/>
                <w:sz w:val="24"/>
                <w:szCs w:val="24"/>
                <w:highlight w:val="yellow"/>
                <w:shd w:fill="auto" w:val="clear"/>
                <w:lang w:val="uk-UA" w:eastAsia="uk-UA" w:bidi="hi-IN"/>
              </w:rPr>
              <w:t xml:space="preserve"> </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rPr>
            </w:pPr>
            <w:r>
              <w:rPr>
                <w:rFonts w:cs="Times New Roman" w:ascii="Times New Roman" w:hAnsi="Times New Roman"/>
                <w:b/>
                <w:bCs/>
                <w:color w:val="000000"/>
                <w:sz w:val="24"/>
                <w:szCs w:val="24"/>
              </w:rPr>
              <w:t xml:space="preserve">Цілодобово з 16.04.2024 року до  31 </w:t>
            </w:r>
            <w:r>
              <w:rPr>
                <w:rFonts w:cs="Times New Roman" w:ascii="Times New Roman" w:hAnsi="Times New Roman"/>
                <w:b/>
                <w:bCs/>
                <w:color w:val="000000"/>
                <w:sz w:val="24"/>
                <w:szCs w:val="24"/>
              </w:rPr>
              <w:t>серпня</w:t>
            </w:r>
            <w:r>
              <w:rPr>
                <w:rFonts w:cs="Times New Roman" w:ascii="Times New Roman" w:hAnsi="Times New Roman"/>
                <w:b/>
                <w:bCs/>
                <w:color w:val="000000"/>
                <w:sz w:val="24"/>
                <w:szCs w:val="24"/>
              </w:rPr>
              <w:t xml:space="preserve"> 2024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ascii="Times New Roman" w:hAnsi="Times New Roman"/>
              </w:rPr>
              <w:t>;</w:t>
            </w:r>
          </w:p>
          <w:p>
            <w:pPr>
              <w:pStyle w:val="Normal"/>
              <w:widowControl w:val="false"/>
              <w:numPr>
                <w:ilvl w:val="0"/>
                <w:numId w:val="1"/>
              </w:numPr>
              <w:ind w:left="720" w:hanging="3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sz w:val="24"/>
                <w:szCs w:val="24"/>
                <w:shd w:fill="FFFFFF" w:val="clear"/>
              </w:rPr>
              <w:t>згідно з Додатком 2</w:t>
            </w:r>
            <w:r>
              <w:rPr>
                <w:rFonts w:eastAsia="Times New Roman" w:cs="Times New Roman" w:ascii="Times New Roman" w:hAnsi="Times New Roman"/>
                <w:sz w:val="24"/>
                <w:szCs w:val="24"/>
                <w:shd w:fill="FFFFFF" w:val="clear"/>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shd w:fill="FFFFFF" w:val="clear"/>
              </w:rPr>
            </w:pPr>
            <w:r>
              <w:rPr>
                <w:rFonts w:eastAsia="Times New Roman" w:cs="Times New Roman" w:ascii="Times New Roman" w:hAnsi="Times New Roman"/>
                <w:b/>
                <w:sz w:val="24"/>
                <w:szCs w:val="24"/>
                <w:shd w:fill="FFFFFF"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FFFFFF" w:val="clear"/>
              </w:rPr>
              <w:t>сом (УЕП)</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FFFFFF" w:val="clear"/>
              </w:rPr>
              <w:t xml:space="preserve">Зверніть увагу: документи тендерної пропозиції, які надані не у формі електронного документа (без КЕП/УЕП </w:t>
            </w:r>
            <w:r>
              <w:rPr>
                <w:rFonts w:eastAsia="Times New Roman" w:cs="Times New Roman" w:ascii="Times New Roman" w:hAnsi="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Забезпечення тендерної пропозиції не вимагається. </w:t>
            </w:r>
          </w:p>
          <w:p>
            <w:pPr>
              <w:pStyle w:val="Normal"/>
              <w:widowControl w:val="false"/>
              <w:spacing w:before="0" w:after="160"/>
              <w:ind w:right="120" w:hanging="0"/>
              <w:jc w:val="both"/>
              <w:rPr>
                <w:rFonts w:ascii="Times New Roman" w:hAnsi="Times New Roman" w:eastAsia="Times New Roman" w:cs="Times New Roman"/>
                <w:i/>
                <w:i/>
                <w:color w:val="FF0000"/>
                <w:sz w:val="24"/>
                <w:szCs w:val="24"/>
                <w:shd w:fill="FFFFFF" w:val="clear"/>
              </w:rPr>
            </w:pPr>
            <w:r>
              <w:rPr>
                <w:rFonts w:eastAsia="Times New Roman" w:cs="Times New Roman" w:ascii="Times New Roman" w:hAnsi="Times New Roman"/>
                <w:i/>
                <w:color w:val="FF0000"/>
                <w:sz w:val="24"/>
                <w:szCs w:val="24"/>
                <w:shd w:fill="FFFFFF" w:val="clea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передбачається.</w:t>
            </w:r>
          </w:p>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shd w:fill="FFFFFF" w:val="clear"/>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 xml:space="preserve">Інформація про субпідрядника /співвиконавця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sz w:val="24"/>
                <w:szCs w:val="24"/>
                <w:shd w:fill="FFFFFF" w:val="clear"/>
              </w:rPr>
              <w:t>Не передбачено.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t xml:space="preserve">Кінцевий строк подання тендерних пропозицій — </w:t>
            </w:r>
            <w:r>
              <w:rPr>
                <w:rFonts w:eastAsia="Calibri" w:cs="Calibri" w:ascii="Times New Roman" w:hAnsi="Times New Roman"/>
                <w:b/>
                <w:bCs/>
                <w:color w:val="000000"/>
                <w:kern w:val="0"/>
                <w:sz w:val="24"/>
                <w:szCs w:val="24"/>
                <w:shd w:fill="auto" w:val="clear"/>
                <w:lang w:val="uk-UA" w:eastAsia="zh-CN" w:bidi="hi-IN"/>
              </w:rPr>
              <w:t>12 квітня</w:t>
            </w:r>
            <w:r>
              <w:rPr>
                <w:rFonts w:ascii="Times New Roman" w:hAnsi="Times New Roman"/>
                <w:b/>
                <w:bCs/>
                <w:sz w:val="24"/>
                <w:szCs w:val="24"/>
                <w:shd w:fill="auto" w:val="clear"/>
              </w:rPr>
              <w:t xml:space="preserve"> 2024 року , 00: 00 год.</w:t>
            </w:r>
          </w:p>
          <w:p>
            <w:pPr>
              <w:pStyle w:val="Normal"/>
              <w:widowControl w:val="false"/>
              <w:rPr>
                <w:rFonts w:ascii="Times New Roman" w:hAnsi="Times New Roman"/>
                <w:sz w:val="24"/>
                <w:szCs w:val="24"/>
              </w:rPr>
            </w:pPr>
            <w:r>
              <w:rPr>
                <w:rFonts w:ascii="Times New Roman" w:hAnsi="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sz w:val="24"/>
                <w:szCs w:val="24"/>
              </w:rPr>
            </w:pPr>
            <w:r>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sz w:val="24"/>
                <w:szCs w:val="24"/>
              </w:rPr>
            </w:pPr>
            <w:r>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highlight w:val="yellow"/>
              </w:rPr>
            </w:pPr>
            <w:r>
              <w:rPr>
                <w:rFonts w:ascii="Times New Roman" w:hAnsi="Times New Roman"/>
                <w:sz w:val="24"/>
                <w:szCs w:val="24"/>
              </w:rPr>
              <w:t>Розмір мінімального кроку п</w:t>
            </w:r>
            <w:r>
              <w:rPr>
                <w:rFonts w:eastAsia="Times New Roman" w:cs="Times New Roman" w:ascii="Times New Roman" w:hAnsi="Times New Roman"/>
                <w:sz w:val="24"/>
                <w:szCs w:val="24"/>
                <w:highlight w:val="white"/>
              </w:rPr>
              <w:t xml:space="preserve">ониження ціни під час електронного аукціону – </w:t>
            </w:r>
            <w:r>
              <w:rPr>
                <w:rFonts w:eastAsia="Times New Roman" w:cs="Times New Roman" w:ascii="Times New Roman" w:hAnsi="Times New Roman"/>
                <w:sz w:val="24"/>
                <w:szCs w:val="24"/>
                <w:shd w:fill="auto" w:val="clear"/>
              </w:rPr>
              <w:t>0,5 % .</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eastAsia="Times New Roman" w:cs="Times New Roman" w:ascii="Times New Roman" w:hAnsi="Times New Roman"/>
                <w:color w:val="00B050"/>
                <w:sz w:val="24"/>
                <w:szCs w:val="24"/>
                <w:highlight w:val="white"/>
              </w:rPr>
              <w:t xml:space="preserve"> </w:t>
            </w:r>
            <w:r>
              <w:rPr>
                <w:rFonts w:ascii="Times New Roman" w:hAnsi="Times New Roman"/>
                <w:sz w:val="24"/>
                <w:szCs w:val="24"/>
              </w:rPr>
              <w:t>Ісламська Республіка Іран</w:t>
            </w:r>
            <w:r>
              <w:rPr>
                <w:rFonts w:eastAsia="Times New Roman" w:cs="Times New Roman" w:ascii="Times New Roman" w:hAnsi="Times New Roman"/>
                <w:sz w:val="24"/>
                <w:szCs w:val="24"/>
                <w:highlight w:val="white"/>
              </w:rPr>
              <w:t xml:space="preserve">, громадянин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sz w:val="24"/>
                <w:szCs w:val="24"/>
              </w:rPr>
            </w:pPr>
            <w:r>
              <w:rPr>
                <w:rFonts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тендерна пропозиція:</w:t>
            </w:r>
          </w:p>
          <w:p>
            <w:pPr>
              <w:pStyle w:val="Normal"/>
              <w:widowControl w:val="false"/>
              <w:shd w:val="clear" w:fill="FFFFFF"/>
              <w:spacing w:lineRule="auto" w:line="240" w:before="0" w:after="160"/>
              <w:ind w:firstLine="567"/>
              <w:jc w:val="both"/>
              <w:rPr/>
            </w:pPr>
            <w:r>
              <w:rPr>
                <w:rFonts w:eastAsia="Times New Roman" w:cs="Times New Roman" w:ascii="Times New Roman" w:hAnsi="Times New Roman"/>
                <w:sz w:val="24"/>
                <w:szCs w:val="24"/>
                <w:shd w:fill="FFFFFF"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hd w:fill="FFFFFF" w:val="clear"/>
                <w:szCs w:val="24"/>
                <w:rFonts w:eastAsia="Times New Roman" w:cs="Times New Roman" w:ascii="Times New Roman" w:hAnsi="Times New Roman"/>
              </w:rPr>
              <w:instrText> HYPERLINK "https://zakon.rada.gov.ua/laws/show/1178-2022-п" \l "n131"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пункту 4</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shd w:fill="auto" w:val="clear"/>
              </w:rPr>
              <w:t>(залишити у разі закупівлі товару, який можна привести до кратності упаковки)</w:t>
            </w:r>
            <w:r>
              <w:rPr>
                <w:rFonts w:eastAsia="Times New Roman" w:cs="Times New Roman" w:ascii="Times New Roman" w:hAnsi="Times New Roman"/>
                <w:sz w:val="24"/>
                <w:szCs w:val="24"/>
                <w:shd w:fill="auto" w:val="clear"/>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ind w:right="120" w:hanging="0"/>
              <w:jc w:val="both"/>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highlight w:val="cyan"/>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1. Дод</w:t>
      </w:r>
      <w:r>
        <w:rPr>
          <w:rFonts w:eastAsia="Times New Roman" w:cs="Times New Roman" w:ascii="Times New Roman" w:hAnsi="Times New Roman"/>
          <w:sz w:val="24"/>
          <w:szCs w:val="24"/>
          <w:shd w:fill="auto" w:val="clear"/>
        </w:rPr>
        <w:t>аток 1 до тендерної документації на 5  арк. в 1 прим.</w:t>
      </w:r>
    </w:p>
    <w:p>
      <w:pPr>
        <w:pStyle w:val="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2. Додаток 2 до тендерної документації на 2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shd w:fill="FFFF00" w:val="clear"/>
        </w:rPr>
        <w:t xml:space="preserve">                                               </w:t>
      </w:r>
      <w:r>
        <w:rPr>
          <w:rFonts w:eastAsia="Times New Roman" w:cs="Times New Roman" w:ascii="Times New Roman" w:hAnsi="Times New Roman"/>
          <w:sz w:val="24"/>
          <w:szCs w:val="24"/>
          <w:shd w:fill="auto" w:val="clear"/>
        </w:rPr>
        <w:t>3. Додаток 3 до тендерної документації на 14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shd w:fill="FFFF00" w:val="clear"/>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11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LOnormal1">
    <w:name w:val="LO-normal1"/>
    <w:qFormat/>
    <w:pPr>
      <w:widowControl/>
      <w:suppressAutoHyphens w:val="true"/>
      <w:bidi w:val="0"/>
      <w:spacing w:lineRule="auto" w:line="252" w:before="0" w:after="160"/>
      <w:jc w:val="left"/>
    </w:pPr>
    <w:rPr>
      <w:rFonts w:ascii="Calibri" w:hAnsi="Calibri" w:eastAsia="Times New Roman" w:cs="Calibri"/>
      <w:color w:val="auto"/>
      <w:kern w:val="0"/>
      <w:sz w:val="22"/>
      <w:szCs w:val="22"/>
      <w:lang w:val="uk-UA" w:eastAsia="zh-CN" w:bidi="ar-SA"/>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122</TotalTime>
  <Application>LibreOffice/7.1.6.2$Windows_X86_64 LibreOffice_project/0e133318fcee89abacd6a7d077e292f1145735c3</Application>
  <AppVersion>15.0000</AppVersion>
  <Pages>25</Pages>
  <Words>6719</Words>
  <Characters>45866</Characters>
  <CharactersWithSpaces>52735</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ru-RU</dc:language>
  <cp:lastModifiedBy/>
  <dcterms:modified xsi:type="dcterms:W3CDTF">2024-04-04T09:47:11Z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