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right"/>
        <w:rPr>
          <w:rFonts w:ascii="Times New Roman" w:hAnsi="Times New Roman" w:eastAsia="Times New Roman" w:cs="Times New Roman"/>
          <w:b/>
          <w:i/>
          <w:color w:val="000000" w:themeColor="text1"/>
          <w:sz w:val="24"/>
          <w:szCs w:val="24"/>
          <w14:textFill>
            <w14:solidFill>
              <w14:schemeClr w14:val="tx1"/>
            </w14:solidFill>
          </w14:textFill>
        </w:rPr>
      </w:pPr>
    </w:p>
    <w:p>
      <w:pPr>
        <w:spacing w:after="0" w:line="240" w:lineRule="auto"/>
        <w:ind w:left="-1418"/>
        <w:jc w:val="center"/>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 xml:space="preserve">                НІЖИНСЬКИЙ ДИТЯЧИЙ БУДИНОК-ІНТЕРНАТ</w:t>
      </w:r>
    </w:p>
    <w:p>
      <w:pPr>
        <w:spacing w:after="0" w:line="240" w:lineRule="auto"/>
        <w:ind w:left="-1418"/>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«ЗАТВЕРДЖЕНО»</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Протокол</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Уповноваженої особи</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Ніжинський дитячий будинок-інтернат</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Яренко А. В.</w:t>
      </w:r>
    </w:p>
    <w:p>
      <w:pPr>
        <w:spacing w:after="0" w:line="240" w:lineRule="auto"/>
        <w:jc w:val="right"/>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hint="default" w:ascii="Times New Roman" w:hAnsi="Times New Roman" w:eastAsia="Times New Roman" w:cs="Times New Roman"/>
          <w:color w:val="000000" w:themeColor="text1"/>
          <w:sz w:val="24"/>
          <w:szCs w:val="24"/>
          <w:lang w:val="uk-UA"/>
          <w14:textFill>
            <w14:solidFill>
              <w14:schemeClr w14:val="tx1"/>
            </w14:solidFill>
          </w14:textFill>
        </w:rPr>
        <w:t>05</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01</w:t>
      </w:r>
      <w:r>
        <w:rPr>
          <w:rFonts w:ascii="Times New Roman" w:hAnsi="Times New Roman" w:eastAsia="Times New Roman" w:cs="Times New Roman"/>
          <w:color w:val="000000" w:themeColor="text1"/>
          <w:sz w:val="24"/>
          <w:szCs w:val="24"/>
          <w14:textFill>
            <w14:solidFill>
              <w14:schemeClr w14:val="tx1"/>
            </w14:solidFill>
          </w14:textFill>
        </w:rPr>
        <w:t>.202</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4 </w:t>
      </w:r>
      <w:r>
        <w:rPr>
          <w:rFonts w:ascii="Times New Roman" w:hAnsi="Times New Roman" w:eastAsia="Times New Roman" w:cs="Times New Roman"/>
          <w:color w:val="000000" w:themeColor="text1"/>
          <w:sz w:val="24"/>
          <w:szCs w:val="24"/>
          <w14:textFill>
            <w14:solidFill>
              <w14:schemeClr w14:val="tx1"/>
            </w14:solidFill>
          </w14:textFill>
        </w:rPr>
        <w:t>р №</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05</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ТЕНДЕРНА ДОКУМЕНТАЦІЯ</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по процедурі</w:t>
      </w:r>
      <w:r>
        <w:rPr>
          <w:rFonts w:ascii="Times New Roman" w:hAnsi="Times New Roman" w:eastAsia="Times New Roman" w:cs="Times New Roman"/>
          <w:b/>
          <w:color w:val="000000" w:themeColor="text1"/>
          <w:sz w:val="24"/>
          <w:szCs w:val="24"/>
          <w14:textFill>
            <w14:solidFill>
              <w14:schemeClr w14:val="tx1"/>
            </w14:solidFill>
          </w14:textFill>
        </w:rPr>
        <w:t xml:space="preserve"> ВІДКРИТІ ТОРГИ (з особливостями)</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на закупівлю </w:t>
      </w:r>
      <w:r>
        <w:rPr>
          <w:rFonts w:ascii="Times New Roman" w:hAnsi="Times New Roman" w:eastAsia="Times New Roman" w:cs="Times New Roman"/>
          <w:b/>
          <w:color w:val="000000" w:themeColor="text1"/>
          <w:sz w:val="24"/>
          <w:szCs w:val="24"/>
          <w14:textFill>
            <w14:solidFill>
              <w14:schemeClr w14:val="tx1"/>
            </w14:solidFill>
          </w14:textFill>
        </w:rPr>
        <w:t>товару:</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b/>
          <w:sz w:val="24"/>
          <w:szCs w:val="24"/>
          <w:lang w:val="uk-UA" w:eastAsia="en-US"/>
        </w:rPr>
        <w:t>М’ясо на 2024 рік: свинина заморожена напівтуші, свинна лопатка заморожена, печінка яловича (код за ЄЗС ДК 021:2015 - 15110000-2 М `ясо)</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bookmarkStart w:id="0" w:name="_heading=h.1fob9te" w:colFirst="0" w:colLast="0"/>
      <w:bookmarkEnd w:id="0"/>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i/>
          <w:color w:val="000000" w:themeColor="text1"/>
          <w:sz w:val="24"/>
          <w:szCs w:val="24"/>
          <w14:textFill>
            <w14:solidFill>
              <w14:schemeClr w14:val="tx1"/>
            </w14:solidFill>
          </w14:textFill>
        </w:rPr>
        <w:t>м. Ніжин 202</w:t>
      </w:r>
      <w:r>
        <w:rPr>
          <w:rFonts w:hint="default" w:ascii="Times New Roman" w:hAnsi="Times New Roman" w:eastAsia="Times New Roman" w:cs="Times New Roman"/>
          <w:i/>
          <w:color w:val="000000" w:themeColor="text1"/>
          <w:sz w:val="24"/>
          <w:szCs w:val="24"/>
          <w:lang w:val="uk-UA"/>
          <w14:textFill>
            <w14:solidFill>
              <w14:schemeClr w14:val="tx1"/>
            </w14:solidFill>
          </w14:textFill>
        </w:rPr>
        <w:t>4</w:t>
      </w:r>
      <w:r>
        <w:rPr>
          <w:rFonts w:ascii="Times New Roman" w:hAnsi="Times New Roman" w:eastAsia="Times New Roman" w:cs="Times New Roman"/>
          <w:i/>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рік</w:t>
      </w:r>
    </w:p>
    <w:tbl>
      <w:tblPr>
        <w:tblStyle w:val="25"/>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left"/>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tcPr>
          <w:p>
            <w:pPr>
              <w:spacing w:after="0" w:line="240" w:lineRule="auto"/>
              <w:jc w:val="left"/>
              <w:rPr>
                <w:rFonts w:ascii="Times New Roman" w:hAnsi="Times New Roman" w:eastAsia="Times New Roman" w:cs="Times New Roman"/>
                <w:i/>
                <w:sz w:val="24"/>
                <w:szCs w:val="24"/>
              </w:rPr>
            </w:pPr>
            <w:r>
              <w:rPr>
                <w:rFonts w:ascii="Times New Roman" w:hAnsi="Times New Roman" w:eastAsia="Times New Roman" w:cs="Times New Roman"/>
                <w:i/>
                <w:color w:val="000000" w:themeColor="text1"/>
                <w:sz w:val="24"/>
                <w:szCs w:val="24"/>
                <w14:textFill>
                  <w14:solidFill>
                    <w14:schemeClr w14:val="tx1"/>
                  </w14:solidFill>
                </w14:textFill>
              </w:rPr>
              <w:t>НІЖИНСЬКИЙ ДИТЯЧИЙ БУДИНОК-ІНТЕРНАТ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05" w:type="dxa"/>
          </w:tcPr>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tcPr>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16600, м. Ніжин, вул. Березанська, б. 44А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ПІБ: Яренко Алла Володимирівна – фахівець з публічних закупівель</w:t>
            </w:r>
          </w:p>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e-mail: zorro535@ukr.net</w:t>
            </w:r>
          </w:p>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тел./факс: (04631) 4-22--83</w:t>
            </w:r>
          </w:p>
          <w:p>
            <w:pPr>
              <w:spacing w:after="0" w:line="240" w:lineRule="auto"/>
              <w:jc w:val="left"/>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left"/>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торги </w:t>
            </w:r>
            <w:r>
              <w:rPr>
                <w:rFonts w:ascii="Times New Roman" w:hAnsi="Times New Roman" w:eastAsia="Times New Roman" w:cs="Times New Roman"/>
                <w:color w:val="4A86E8"/>
                <w:sz w:val="24"/>
                <w:szCs w:val="24"/>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left"/>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spacing w:before="240" w:after="0" w:line="240" w:lineRule="auto"/>
              <w:jc w:val="left"/>
              <w:rPr>
                <w:rFonts w:ascii="Times New Roman" w:hAnsi="Times New Roman" w:eastAsia="Times New Roman" w:cs="Times New Roman"/>
                <w:i/>
                <w:sz w:val="24"/>
                <w:szCs w:val="24"/>
              </w:rPr>
            </w:pPr>
            <w:r>
              <w:rPr>
                <w:rFonts w:hint="default" w:ascii="Times New Roman" w:hAnsi="Times New Roman"/>
                <w:b/>
                <w:sz w:val="24"/>
                <w:szCs w:val="24"/>
                <w:lang w:val="uk-UA" w:eastAsia="en-US"/>
              </w:rPr>
              <w:t xml:space="preserve">М’ясо на 2024 рік: свинина заморожена напівтуші, свинна лопатка заморожена, печінка яловича (код за ЄЗС ДК 021:2015 - 15110000-2 М `ясо)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jc w:val="left"/>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000000"/>
                <w:sz w:val="24"/>
                <w:szCs w:val="24"/>
              </w:rPr>
              <w:t>Закупівля здійснюється щодо предмета закупівлі в цілому.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кількість товару та місце його поставки </w:t>
            </w:r>
          </w:p>
          <w:p>
            <w:pPr>
              <w:widowControl w:val="0"/>
              <w:spacing w:after="0" w:line="240" w:lineRule="auto"/>
              <w:jc w:val="left"/>
              <w:rPr>
                <w:rFonts w:ascii="Times New Roman" w:hAnsi="Times New Roman" w:eastAsia="Times New Roman" w:cs="Times New Roman"/>
                <w:color w:val="000000"/>
                <w:sz w:val="24"/>
                <w:szCs w:val="24"/>
                <w:highlight w:val="yellow"/>
              </w:rPr>
            </w:pPr>
          </w:p>
        </w:tc>
        <w:tc>
          <w:tcPr>
            <w:tcW w:w="6420" w:type="dxa"/>
          </w:tcPr>
          <w:p>
            <w:pPr>
              <w:widowControl w:val="0"/>
              <w:spacing w:after="0" w:line="240" w:lineRule="auto"/>
              <w:ind w:right="120"/>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Кількість:   3100 кг   в т.ч.: </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val="0"/>
                <w:bCs w:val="0"/>
                <w:color w:val="000000"/>
                <w:sz w:val="24"/>
                <w:szCs w:val="24"/>
              </w:rPr>
              <w:t xml:space="preserve"> </w:t>
            </w:r>
            <w:r>
              <w:rPr>
                <w:rFonts w:ascii="Times New Roman" w:hAnsi="Times New Roman" w:eastAsia="Times New Roman" w:cs="Times New Roman"/>
                <w:b w:val="0"/>
                <w:bCs w:val="0"/>
                <w:sz w:val="24"/>
                <w:szCs w:val="24"/>
                <w:lang w:eastAsia="ru-RU"/>
              </w:rPr>
              <w:t>Свинина напівтуш</w:t>
            </w:r>
            <w:r>
              <w:rPr>
                <w:rFonts w:ascii="Times New Roman" w:hAnsi="Times New Roman" w:eastAsia="Times New Roman" w:cs="Times New Roman"/>
                <w:b w:val="0"/>
                <w:bCs w:val="0"/>
                <w:sz w:val="24"/>
                <w:szCs w:val="24"/>
                <w:lang w:val="uk-UA" w:eastAsia="ru-RU"/>
              </w:rPr>
              <w:t>а</w:t>
            </w:r>
            <w:r>
              <w:rPr>
                <w:rFonts w:hint="default" w:ascii="Times New Roman" w:hAnsi="Times New Roman" w:eastAsia="Times New Roman" w:cs="Times New Roman"/>
                <w:b w:val="0"/>
                <w:bCs w:val="0"/>
                <w:sz w:val="24"/>
                <w:szCs w:val="24"/>
                <w:lang w:val="uk-UA" w:eastAsia="ru-RU"/>
              </w:rPr>
              <w:t xml:space="preserve"> </w:t>
            </w:r>
            <w:bookmarkStart w:id="7" w:name="_GoBack"/>
            <w:bookmarkEnd w:id="7"/>
            <w:r>
              <w:rPr>
                <w:rFonts w:ascii="Times New Roman" w:hAnsi="Times New Roman" w:eastAsia="Times New Roman" w:cs="Times New Roman"/>
                <w:b w:val="0"/>
                <w:bCs w:val="0"/>
                <w:sz w:val="24"/>
                <w:szCs w:val="24"/>
                <w:lang w:eastAsia="ru-RU"/>
              </w:rPr>
              <w:t>заморожена</w:t>
            </w:r>
            <w:r>
              <w:rPr>
                <w:rFonts w:ascii="Times New Roman" w:hAnsi="Times New Roman" w:eastAsia="Times New Roman" w:cs="Times New Roman"/>
                <w:b w:val="0"/>
                <w:bCs w:val="0"/>
                <w:color w:val="000000"/>
                <w:sz w:val="24"/>
                <w:szCs w:val="24"/>
              </w:rPr>
              <w:t xml:space="preserve"> </w:t>
            </w:r>
            <w:r>
              <w:rPr>
                <w:rFonts w:ascii="Times New Roman" w:hAnsi="Times New Roman" w:eastAsia="Times New Roman" w:cs="Times New Roman"/>
                <w:color w:val="000000"/>
                <w:sz w:val="24"/>
                <w:szCs w:val="24"/>
              </w:rPr>
              <w:t>-2000 кг</w:t>
            </w:r>
          </w:p>
          <w:p>
            <w:pPr>
              <w:widowControl w:val="0"/>
              <w:spacing w:after="0" w:line="240" w:lineRule="auto"/>
              <w:ind w:right="120"/>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Свинна  лопатка заморожена - 500 кг</w:t>
            </w:r>
          </w:p>
          <w:p>
            <w:pPr>
              <w:widowControl w:val="0"/>
              <w:spacing w:after="0" w:line="240" w:lineRule="auto"/>
              <w:ind w:right="120"/>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Печінка яловича -600 кг</w:t>
            </w:r>
          </w:p>
          <w:p>
            <w:pPr>
              <w:widowControl w:val="0"/>
              <w:spacing w:after="0" w:line="240" w:lineRule="auto"/>
              <w:ind w:right="120"/>
              <w:jc w:val="left"/>
              <w:rPr>
                <w:rFonts w:ascii="Times New Roman" w:hAnsi="Times New Roman" w:eastAsia="Times New Roman" w:cs="Times New Roman"/>
                <w:color w:val="4A86E8"/>
                <w:sz w:val="24"/>
                <w:szCs w:val="24"/>
                <w:highlight w:val="white"/>
              </w:rPr>
            </w:pPr>
            <w:r>
              <w:rPr>
                <w:rFonts w:ascii="Times New Roman" w:hAnsi="Times New Roman" w:eastAsia="Times New Roman" w:cs="Times New Roman"/>
                <w:color w:val="000000" w:themeColor="text1"/>
                <w:sz w:val="24"/>
                <w:szCs w:val="24"/>
                <w14:textFill>
                  <w14:solidFill>
                    <w14:schemeClr w14:val="tx1"/>
                  </w14:solidFill>
                </w14:textFill>
              </w:rPr>
              <w:t xml:space="preserve">Місце поставки товару:  вул. Березанська, 44 а,  м.Ніжин, Чернігівська обл., Україна, 16600 , в робочі дні з 8:00 до 15:00 годин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  31 грудня  2023 року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pStyle w:val="17"/>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47 Особливостей*, – згідно з </w:t>
            </w:r>
            <w:r>
              <w:rPr>
                <w:rFonts w:ascii="Times New Roman" w:hAnsi="Times New Roman" w:eastAsia="Times New Roman" w:cs="Times New Roman"/>
                <w:b/>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eastAsia="Times New Roman" w:cs="Times New Roman"/>
                <w:b/>
                <w:i/>
                <w:sz w:val="24"/>
                <w:szCs w:val="24"/>
              </w:rPr>
              <w:t>згідно з Додатком 2</w:t>
            </w:r>
            <w:r>
              <w:rPr>
                <w:rFonts w:ascii="Times New Roman" w:hAnsi="Times New Roman" w:eastAsia="Times New Roman" w:cs="Times New Roman"/>
                <w:sz w:val="24"/>
                <w:szCs w:val="24"/>
              </w:rPr>
              <w:t xml:space="preserve"> до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cyan"/>
              </w:rPr>
            </w:pPr>
            <w:r>
              <w:rPr>
                <w:rFonts w:ascii="Times New Roman" w:hAnsi="Times New Roman" w:eastAsia="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i/>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color w:val="000000"/>
                <w:sz w:val="24"/>
                <w:szCs w:val="24"/>
              </w:rPr>
            </w:pPr>
            <w:bookmarkStart w:id="4" w:name="_heading=h.ftj7vaqoric" w:colFirst="0" w:colLast="0"/>
            <w:bookmarkEnd w:id="4"/>
            <w:r>
              <w:rPr>
                <w:rFonts w:ascii="Times New Roman" w:hAnsi="Times New Roman" w:eastAsia="Times New Roman" w:cs="Times New Roman"/>
                <w:color w:val="000000"/>
                <w:sz w:val="24"/>
                <w:szCs w:val="24"/>
              </w:rPr>
              <w:t>Кожен учасник має право подати тільки одну тендерну пропозицію</w:t>
            </w:r>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(дев’яносто)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rPr>
              <w:t>(у разі якщо таке вимагалося)</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Підстави, визначені пунктом 47 Особливостей*.</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w:t>
            </w:r>
            <w:r>
              <w:rPr>
                <w:rFonts w:hint="default" w:ascii="Times New Roman" w:hAnsi="Times New Roman" w:cs="Times New Roman"/>
                <w:sz w:val="22"/>
                <w:szCs w:val="22"/>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hint="default" w:ascii="Times New Roman" w:hAnsi="Times New Roman" w:cs="Times New Roman"/>
                <w:color w:val="000000"/>
                <w:sz w:val="22"/>
                <w:szCs w:val="22"/>
                <w:lang w:val="uk-UA"/>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color w:val="000000"/>
                <w:szCs w:val="28"/>
                <w:lang w:val="uk-UA"/>
              </w:rPr>
              <w:t xml:space="preserve"> </w:t>
            </w:r>
            <w:r>
              <w:rPr>
                <w:rFonts w:ascii="Times New Roman" w:hAnsi="Times New Roman" w:eastAsia="Times New Roman" w:cs="Times New Roman"/>
                <w:sz w:val="24"/>
                <w:szCs w:val="24"/>
              </w:rPr>
              <w:t>;</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color w:val="FF0000"/>
                <w:sz w:val="24"/>
                <w:szCs w:val="24"/>
              </w:rPr>
              <w:t xml:space="preserve">субпідрядника /співвиконавця </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Не передбачено.  </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r>
              <w:rPr>
                <w:rFonts w:hint="default" w:ascii="Times New Roman" w:hAnsi="Times New Roman" w:eastAsia="Times New Roman" w:cs="Times New Roman"/>
                <w:b/>
                <w:bCs/>
                <w:color w:val="000000" w:themeColor="text1"/>
                <w:sz w:val="24"/>
                <w:szCs w:val="24"/>
                <w:lang w:val="uk-UA"/>
                <w14:textFill>
                  <w14:solidFill>
                    <w14:schemeClr w14:val="tx1"/>
                  </w14:solidFill>
                </w14:textFill>
              </w:rPr>
              <w:t xml:space="preserve">15 </w:t>
            </w:r>
            <w:r>
              <w:rPr>
                <w:rFonts w:ascii="Times New Roman" w:hAnsi="Times New Roman" w:eastAsia="Times New Roman" w:cs="Times New Roman"/>
                <w:b/>
                <w:color w:val="000000" w:themeColor="text1"/>
                <w:sz w:val="24"/>
                <w:szCs w:val="24"/>
                <w:lang w:val="uk-UA"/>
                <w14:textFill>
                  <w14:solidFill>
                    <w14:schemeClr w14:val="tx1"/>
                  </w14:solidFill>
                </w14:textFill>
              </w:rPr>
              <w:t>січня</w:t>
            </w:r>
            <w:r>
              <w:rPr>
                <w:rFonts w:ascii="Times New Roman" w:hAnsi="Times New Roman" w:eastAsia="Times New Roman" w:cs="Times New Roman"/>
                <w:b/>
                <w:color w:val="000000" w:themeColor="text1"/>
                <w:sz w:val="24"/>
                <w:szCs w:val="24"/>
                <w14:textFill>
                  <w14:solidFill>
                    <w14:schemeClr w14:val="tx1"/>
                  </w14:solidFill>
                </w14:textFill>
              </w:rPr>
              <w:t xml:space="preserve"> 202</w:t>
            </w:r>
            <w:r>
              <w:rPr>
                <w:rFonts w:hint="default" w:ascii="Times New Roman" w:hAnsi="Times New Roman" w:eastAsia="Times New Roman" w:cs="Times New Roman"/>
                <w:b/>
                <w:color w:val="000000" w:themeColor="text1"/>
                <w:sz w:val="24"/>
                <w:szCs w:val="24"/>
                <w:lang w:val="uk-UA"/>
                <w14:textFill>
                  <w14:solidFill>
                    <w14:schemeClr w14:val="tx1"/>
                  </w14:solidFill>
                </w14:textFill>
              </w:rPr>
              <w:t>4</w:t>
            </w:r>
            <w:r>
              <w:rPr>
                <w:rFonts w:ascii="Times New Roman" w:hAnsi="Times New Roman" w:eastAsia="Times New Roman" w:cs="Times New Roman"/>
                <w:b/>
                <w:color w:val="000000" w:themeColor="text1"/>
                <w:sz w:val="24"/>
                <w:szCs w:val="24"/>
                <w14:textFill>
                  <w14:solidFill>
                    <w14:schemeClr w14:val="tx1"/>
                  </w14:solidFill>
                </w14:textFill>
              </w:rPr>
              <w:t xml:space="preserve"> року до 00:00 год</w:t>
            </w:r>
            <w:r>
              <w:rPr>
                <w:rFonts w:ascii="Times New Roman" w:hAnsi="Times New Roman" w:eastAsia="Times New Roman" w:cs="Times New Roman"/>
                <w:i/>
                <w:color w:val="000000" w:themeColor="text1"/>
                <w:sz w:val="24"/>
                <w:szCs w:val="24"/>
                <w14:textFill>
                  <w14:solidFill>
                    <w14:schemeClr w14:val="tx1"/>
                  </w14:solidFill>
                </w14:textFill>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Критерії та методика оцінки визначаються відповідно до статті 29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Перелік критеріїв та методика оцінки тендерної пропозиції із зазначенням питомої ваги критерію: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подано дві і більше тендерних пропозицій).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Розмір мінімального кроку пониження ціни під час електронного аукціону – 1 %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tcBorders>
              <w:bottom w:val="single" w:color="000000" w:sz="4" w:space="0"/>
            </w:tcBorders>
            <w:vAlign w:val="center"/>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 Тендерна пропозиція учасника може містити документи з водяними знаками.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tcBorders>
              <w:bottom w:val="single" w:color="auto" w:sz="4" w:space="0"/>
            </w:tcBorders>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підпадає під підстави, встановлені пунктом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тендерної пропозиції, якщо таке забезпечення вимагалося замовником;</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тендерна пропозиція: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строк дії якої закінчився;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переможець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виконання договору про закупівлю,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інформацію про право підписання договору про закупівлю;</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7"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6" w:name="_heading=h.2s8eyo1" w:colFirst="0" w:colLast="0"/>
      <w:bookmarkEnd w:id="6"/>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Додаток 1 до тендерної документації на 6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 Додаток 2 до тендерної документації на </w:t>
      </w:r>
      <w:r>
        <w:rPr>
          <w:rFonts w:hint="default" w:ascii="Times New Roman" w:hAnsi="Times New Roman" w:eastAsia="Times New Roman" w:cs="Times New Roman"/>
          <w:sz w:val="24"/>
          <w:szCs w:val="24"/>
          <w:lang w:val="uk-UA"/>
        </w:rPr>
        <w:t>3</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 Додаток 3 до тендерної документації на 7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4. Додаток 4 до тендерної документації </w:t>
      </w:r>
      <w:r>
        <w:rPr>
          <w:rFonts w:hint="default" w:ascii="Times New Roman" w:hAnsi="Times New Roman" w:eastAsia="Times New Roman" w:cs="Times New Roman"/>
          <w:sz w:val="24"/>
          <w:szCs w:val="24"/>
          <w:lang w:val="uk-UA"/>
        </w:rPr>
        <w:t>2</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sectPr>
      <w:footerReference r:id="rId6" w:type="first"/>
      <w:footerReference r:id="rId5"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Noto Sans">
    <w:altName w:val="Times New Roman"/>
    <w:panose1 w:val="00000000000000000000"/>
    <w:charset w:val="00"/>
    <w:family w:val="swiss"/>
    <w:pitch w:val="default"/>
    <w:sig w:usb0="00000000" w:usb1="00000000"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20</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B0CFF"/>
    <w:multiLevelType w:val="multilevel"/>
    <w:tmpl w:val="20EB0CFF"/>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0B54061"/>
    <w:multiLevelType w:val="multilevel"/>
    <w:tmpl w:val="30B54061"/>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116BC"/>
    <w:rsid w:val="0003516B"/>
    <w:rsid w:val="00062DE1"/>
    <w:rsid w:val="00070CA4"/>
    <w:rsid w:val="00072858"/>
    <w:rsid w:val="00086A26"/>
    <w:rsid w:val="000904EC"/>
    <w:rsid w:val="00093E58"/>
    <w:rsid w:val="000A5CF7"/>
    <w:rsid w:val="000B5CFE"/>
    <w:rsid w:val="000B6510"/>
    <w:rsid w:val="000F5EA6"/>
    <w:rsid w:val="00120266"/>
    <w:rsid w:val="00124C0E"/>
    <w:rsid w:val="00181CE7"/>
    <w:rsid w:val="001938D3"/>
    <w:rsid w:val="001B04F2"/>
    <w:rsid w:val="001B26A8"/>
    <w:rsid w:val="001F1825"/>
    <w:rsid w:val="00216C68"/>
    <w:rsid w:val="00224111"/>
    <w:rsid w:val="00234FCC"/>
    <w:rsid w:val="002B0D9C"/>
    <w:rsid w:val="002B43FB"/>
    <w:rsid w:val="002D5F6D"/>
    <w:rsid w:val="002E2A5A"/>
    <w:rsid w:val="002E7536"/>
    <w:rsid w:val="00301F52"/>
    <w:rsid w:val="003149DD"/>
    <w:rsid w:val="0031775A"/>
    <w:rsid w:val="003320D3"/>
    <w:rsid w:val="003339CC"/>
    <w:rsid w:val="00345978"/>
    <w:rsid w:val="00371EC5"/>
    <w:rsid w:val="00383549"/>
    <w:rsid w:val="00397758"/>
    <w:rsid w:val="003F2A1A"/>
    <w:rsid w:val="00417D21"/>
    <w:rsid w:val="004663FF"/>
    <w:rsid w:val="00490212"/>
    <w:rsid w:val="004A5806"/>
    <w:rsid w:val="004B59CF"/>
    <w:rsid w:val="004C6D9D"/>
    <w:rsid w:val="004D38D1"/>
    <w:rsid w:val="004E2484"/>
    <w:rsid w:val="004F741C"/>
    <w:rsid w:val="00514ABC"/>
    <w:rsid w:val="00553218"/>
    <w:rsid w:val="005D3D96"/>
    <w:rsid w:val="005D6044"/>
    <w:rsid w:val="005F6EBC"/>
    <w:rsid w:val="00616514"/>
    <w:rsid w:val="00644940"/>
    <w:rsid w:val="00651BFF"/>
    <w:rsid w:val="00661941"/>
    <w:rsid w:val="00686917"/>
    <w:rsid w:val="006C2321"/>
    <w:rsid w:val="006C4E96"/>
    <w:rsid w:val="006E1465"/>
    <w:rsid w:val="00733187"/>
    <w:rsid w:val="00755C3D"/>
    <w:rsid w:val="00766AF1"/>
    <w:rsid w:val="00772F73"/>
    <w:rsid w:val="00784E9E"/>
    <w:rsid w:val="007942CF"/>
    <w:rsid w:val="007F0A5F"/>
    <w:rsid w:val="00807DE3"/>
    <w:rsid w:val="00810F1C"/>
    <w:rsid w:val="00843B82"/>
    <w:rsid w:val="00870E11"/>
    <w:rsid w:val="0089321E"/>
    <w:rsid w:val="0089426E"/>
    <w:rsid w:val="00896EDF"/>
    <w:rsid w:val="0090276F"/>
    <w:rsid w:val="00962AE3"/>
    <w:rsid w:val="00983CED"/>
    <w:rsid w:val="009A3280"/>
    <w:rsid w:val="009A7911"/>
    <w:rsid w:val="00A776CB"/>
    <w:rsid w:val="00A83C48"/>
    <w:rsid w:val="00AD4A32"/>
    <w:rsid w:val="00AE00F2"/>
    <w:rsid w:val="00B11AA5"/>
    <w:rsid w:val="00B45043"/>
    <w:rsid w:val="00BE2D3C"/>
    <w:rsid w:val="00C529D7"/>
    <w:rsid w:val="00C845E8"/>
    <w:rsid w:val="00D45097"/>
    <w:rsid w:val="00D50D69"/>
    <w:rsid w:val="00DA2F79"/>
    <w:rsid w:val="00DC7071"/>
    <w:rsid w:val="00DE14BE"/>
    <w:rsid w:val="00DE7DF3"/>
    <w:rsid w:val="00E44928"/>
    <w:rsid w:val="00E60D52"/>
    <w:rsid w:val="00E77BD7"/>
    <w:rsid w:val="00EA504B"/>
    <w:rsid w:val="00EE18A4"/>
    <w:rsid w:val="00EF3CDF"/>
    <w:rsid w:val="00F0172F"/>
    <w:rsid w:val="00F04702"/>
    <w:rsid w:val="00F51BE0"/>
    <w:rsid w:val="00FA3467"/>
    <w:rsid w:val="00FE6BC8"/>
    <w:rsid w:val="11E14A4C"/>
    <w:rsid w:val="289C645F"/>
    <w:rsid w:val="28A3604B"/>
    <w:rsid w:val="2F852F9A"/>
    <w:rsid w:val="37C75C90"/>
    <w:rsid w:val="3AB45C74"/>
    <w:rsid w:val="3F4E2FF7"/>
    <w:rsid w:val="40C34530"/>
    <w:rsid w:val="45DA1AEC"/>
    <w:rsid w:val="46A631C7"/>
    <w:rsid w:val="4BE06504"/>
    <w:rsid w:val="4D463182"/>
    <w:rsid w:val="506F3959"/>
    <w:rsid w:val="56B824A7"/>
    <w:rsid w:val="59BD4B76"/>
    <w:rsid w:val="634256B4"/>
    <w:rsid w:val="688C38EB"/>
    <w:rsid w:val="73A73671"/>
    <w:rsid w:val="7546349C"/>
    <w:rsid w:val="7B53572A"/>
    <w:rsid w:val="7E48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styleId="11">
    <w:name w:val="Balloon Text"/>
    <w:basedOn w:val="1"/>
    <w:link w:val="19"/>
    <w:semiHidden/>
    <w:unhideWhenUsed/>
    <w:qFormat/>
    <w:uiPriority w:val="99"/>
    <w:pPr>
      <w:spacing w:after="0" w:line="240" w:lineRule="auto"/>
    </w:pPr>
    <w:rPr>
      <w:rFonts w:ascii="Segoe UI" w:hAnsi="Segoe UI" w:cs="Segoe UI"/>
      <w:sz w:val="18"/>
      <w:szCs w:val="18"/>
    </w:rPr>
  </w:style>
  <w:style w:type="paragraph" w:styleId="12">
    <w:name w:val="Title"/>
    <w:basedOn w:val="1"/>
    <w:next w:val="1"/>
    <w:qFormat/>
    <w:uiPriority w:val="10"/>
    <w:pPr>
      <w:keepNext/>
      <w:keepLines/>
      <w:spacing w:before="480" w:after="120"/>
    </w:pPr>
    <w:rPr>
      <w:b/>
      <w:sz w:val="72"/>
      <w:szCs w:val="72"/>
    </w:rPr>
  </w:style>
  <w:style w:type="paragraph" w:styleId="13">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4">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5">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qFormat/>
    <w:uiPriority w:val="0"/>
    <w:tblPr>
      <w:tblCellMar>
        <w:top w:w="0" w:type="dxa"/>
        <w:left w:w="0" w:type="dxa"/>
        <w:bottom w:w="0" w:type="dxa"/>
        <w:right w:w="0" w:type="dxa"/>
      </w:tblCellMar>
    </w:tblPr>
  </w:style>
  <w:style w:type="paragraph" w:styleId="17">
    <w:name w:val="List Paragraph"/>
    <w:basedOn w:val="1"/>
    <w:qFormat/>
    <w:uiPriority w:val="34"/>
    <w:pPr>
      <w:ind w:left="720"/>
      <w:contextualSpacing/>
    </w:pPr>
  </w:style>
  <w:style w:type="character" w:customStyle="1" w:styleId="18">
    <w:name w:val="Unresolved Mention"/>
    <w:basedOn w:val="8"/>
    <w:semiHidden/>
    <w:unhideWhenUsed/>
    <w:qFormat/>
    <w:uiPriority w:val="99"/>
    <w:rPr>
      <w:color w:val="605E5C"/>
      <w:shd w:val="clear" w:color="auto" w:fill="E1DFDD"/>
    </w:rPr>
  </w:style>
  <w:style w:type="character" w:customStyle="1" w:styleId="19">
    <w:name w:val="Текст выноски Знак"/>
    <w:basedOn w:val="8"/>
    <w:link w:val="11"/>
    <w:semiHidden/>
    <w:qFormat/>
    <w:uiPriority w:val="99"/>
    <w:rPr>
      <w:rFonts w:ascii="Segoe UI" w:hAnsi="Segoe UI" w:cs="Segoe UI"/>
      <w:sz w:val="18"/>
      <w:szCs w:val="18"/>
    </w:rPr>
  </w:style>
  <w:style w:type="character" w:customStyle="1" w:styleId="20">
    <w:name w:val="qowt-font2-timesnewroman"/>
    <w:qFormat/>
    <w:uiPriority w:val="99"/>
    <w:rPr>
      <w:rFonts w:cs="Times New Roman"/>
    </w:rPr>
  </w:style>
  <w:style w:type="paragraph" w:customStyle="1" w:styleId="21">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3">
    <w:name w:val="_Style 24"/>
    <w:basedOn w:val="16"/>
    <w:qFormat/>
    <w:uiPriority w:val="0"/>
    <w:pPr>
      <w:spacing w:after="0" w:line="240" w:lineRule="auto"/>
    </w:pPr>
    <w:tblPr>
      <w:tblCellMar>
        <w:left w:w="108" w:type="dxa"/>
        <w:right w:w="108" w:type="dxa"/>
      </w:tblCellMar>
    </w:tblPr>
  </w:style>
  <w:style w:type="table" w:customStyle="1" w:styleId="24">
    <w:name w:val="_Style 25"/>
    <w:basedOn w:val="16"/>
    <w:qFormat/>
    <w:uiPriority w:val="0"/>
    <w:pPr>
      <w:spacing w:after="0" w:line="240" w:lineRule="auto"/>
    </w:pPr>
    <w:tblPr>
      <w:tblCellMar>
        <w:left w:w="108" w:type="dxa"/>
        <w:right w:w="108" w:type="dxa"/>
      </w:tblCellMar>
    </w:tblPr>
  </w:style>
  <w:style w:type="table" w:customStyle="1" w:styleId="25">
    <w:name w:val="_Style 26"/>
    <w:basedOn w:val="16"/>
    <w:qFormat/>
    <w:uiPriority w:val="0"/>
    <w:pPr>
      <w:spacing w:after="0" w:line="240" w:lineRule="auto"/>
    </w:pPr>
    <w:tblPr>
      <w:tblCellMar>
        <w:left w:w="108"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22</Pages>
  <Words>34037</Words>
  <Characters>19402</Characters>
  <Lines>161</Lines>
  <Paragraphs>106</Paragraphs>
  <TotalTime>0</TotalTime>
  <ScaleCrop>false</ScaleCrop>
  <LinksUpToDate>false</LinksUpToDate>
  <CharactersWithSpaces>53333</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2023-07-03T08:15:00Z</dcterms:created>
  <dc:creator>userua12</dc:creator>
  <cp:lastModifiedBy>User</cp:lastModifiedBy>
  <dcterms:modified xsi:type="dcterms:W3CDTF">2024-01-05T09:18:17Z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8D034BF148DB45B9968EBF9EACAA7D35_13</vt:lpwstr>
  </property>
</Properties>
</file>