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D835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 </w:t>
            </w:r>
            <w:proofErr w:type="spellStart"/>
            <w:r w:rsidR="000A32EC">
              <w:t>Лахмакова</w:t>
            </w:r>
            <w:proofErr w:type="spellEnd"/>
            <w:r w:rsidR="000A32EC"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2163CF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D83521" w:rsidRPr="00A43DC4">
              <w:rPr>
                <w:szCs w:val="28"/>
              </w:rPr>
              <w:t xml:space="preserve">52800, Дніпропетровська область, місто </w:t>
            </w:r>
            <w:proofErr w:type="spellStart"/>
            <w:r w:rsidR="00D83521" w:rsidRPr="00A43DC4">
              <w:rPr>
                <w:szCs w:val="28"/>
              </w:rPr>
              <w:t>Першотравенськ</w:t>
            </w:r>
            <w:proofErr w:type="spellEnd"/>
            <w:r w:rsidR="00D83521" w:rsidRPr="00A43DC4">
              <w:rPr>
                <w:szCs w:val="28"/>
              </w:rPr>
              <w:t>, вулиця Горького, 7/62</w:t>
            </w:r>
            <w:r w:rsidR="00C04888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D83521" w:rsidP="00D835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20 9</w:t>
            </w:r>
            <w:r w:rsidR="00EE7821">
              <w:t>05</w:t>
            </w:r>
            <w:r w:rsidR="00332092" w:rsidRPr="00332092">
              <w:t xml:space="preserve"> грн 00 коп. (</w:t>
            </w:r>
            <w:r>
              <w:t>двадцять</w:t>
            </w:r>
            <w:r w:rsidR="0015699F">
              <w:t xml:space="preserve"> тисяч </w:t>
            </w:r>
            <w:proofErr w:type="spellStart"/>
            <w:r>
              <w:t>дев</w:t>
            </w:r>
            <w:proofErr w:type="spellEnd"/>
            <w:r w:rsidRPr="00D83521">
              <w:rPr>
                <w:lang w:val="ru-RU"/>
              </w:rPr>
              <w:t>’</w:t>
            </w:r>
            <w:proofErr w:type="spellStart"/>
            <w:r>
              <w:t>ят</w:t>
            </w:r>
            <w:r w:rsidR="00EE7821">
              <w:t>сот</w:t>
            </w:r>
            <w:proofErr w:type="spellEnd"/>
            <w:r w:rsidR="00EE7821">
              <w:t xml:space="preserve"> п</w:t>
            </w:r>
            <w:r w:rsidR="00EE7821" w:rsidRPr="00D83521">
              <w:t>’</w:t>
            </w:r>
            <w:r w:rsidR="00EE7821">
              <w:t>ять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B00C4F">
              <w:t xml:space="preserve">до </w:t>
            </w:r>
            <w:r w:rsidR="00E0567F" w:rsidRPr="00B00C4F">
              <w:t xml:space="preserve">   </w:t>
            </w:r>
            <w:r w:rsidR="00B00C4F">
              <w:t xml:space="preserve">12 серпня </w:t>
            </w:r>
            <w:r w:rsidR="00E0567F" w:rsidRPr="00B00C4F">
              <w:t xml:space="preserve">  </w:t>
            </w:r>
            <w:r w:rsidR="00DA471D" w:rsidRPr="00B00C4F">
              <w:t>2022</w:t>
            </w:r>
            <w:r w:rsidR="00B00C4F">
              <w:t xml:space="preserve"> </w:t>
            </w:r>
            <w:r w:rsidRPr="00B00C4F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B00C4F">
              <w:rPr>
                <w:rStyle w:val="21"/>
              </w:rPr>
              <w:t xml:space="preserve"> 17 серпня </w:t>
            </w:r>
            <w:r w:rsidRPr="00B00C4F">
              <w:rPr>
                <w:rStyle w:val="21"/>
              </w:rPr>
              <w:t>202</w:t>
            </w:r>
            <w:r w:rsidR="00DA471D" w:rsidRPr="00B00C4F">
              <w:rPr>
                <w:rStyle w:val="21"/>
              </w:rPr>
              <w:t>2</w:t>
            </w:r>
            <w:r w:rsidR="00B00C4F">
              <w:rPr>
                <w:rStyle w:val="21"/>
              </w:rPr>
              <w:t xml:space="preserve"> р</w:t>
            </w:r>
            <w:bookmarkStart w:id="0" w:name="_GoBack"/>
            <w:bookmarkEnd w:id="0"/>
            <w:r w:rsidRPr="00B00C4F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CF" w:rsidRDefault="002163CF">
      <w:r>
        <w:separator/>
      </w:r>
    </w:p>
  </w:endnote>
  <w:endnote w:type="continuationSeparator" w:id="0">
    <w:p w:rsidR="002163CF" w:rsidRDefault="0021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CF" w:rsidRDefault="002163CF"/>
  </w:footnote>
  <w:footnote w:type="continuationSeparator" w:id="0">
    <w:p w:rsidR="002163CF" w:rsidRDefault="002163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0F46A1"/>
    <w:rsid w:val="00116C11"/>
    <w:rsid w:val="0015699F"/>
    <w:rsid w:val="001633DB"/>
    <w:rsid w:val="00166E69"/>
    <w:rsid w:val="00184986"/>
    <w:rsid w:val="001A42CB"/>
    <w:rsid w:val="002163CF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6299D"/>
    <w:rsid w:val="00A3074C"/>
    <w:rsid w:val="00AB1313"/>
    <w:rsid w:val="00B00C4F"/>
    <w:rsid w:val="00B63DC6"/>
    <w:rsid w:val="00BD0127"/>
    <w:rsid w:val="00C03D99"/>
    <w:rsid w:val="00C04888"/>
    <w:rsid w:val="00C12C2C"/>
    <w:rsid w:val="00C21AF1"/>
    <w:rsid w:val="00C8452D"/>
    <w:rsid w:val="00CD0DB5"/>
    <w:rsid w:val="00CD7074"/>
    <w:rsid w:val="00D33FD9"/>
    <w:rsid w:val="00D45440"/>
    <w:rsid w:val="00D50F78"/>
    <w:rsid w:val="00D83521"/>
    <w:rsid w:val="00DA471D"/>
    <w:rsid w:val="00E0567F"/>
    <w:rsid w:val="00E11039"/>
    <w:rsid w:val="00EB7086"/>
    <w:rsid w:val="00EE7821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58C4-10AE-4983-A21F-9830851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9</cp:revision>
  <cp:lastPrinted>2022-04-28T08:30:00Z</cp:lastPrinted>
  <dcterms:created xsi:type="dcterms:W3CDTF">2022-08-03T10:40:00Z</dcterms:created>
  <dcterms:modified xsi:type="dcterms:W3CDTF">2022-08-05T12:41:00Z</dcterms:modified>
</cp:coreProperties>
</file>