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2C1DC9DF"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327FBC" w:rsidRPr="00982ABE">
        <w:rPr>
          <w:rFonts w:ascii="Times New Roman" w:hAnsi="Times New Roman" w:cs="Times New Roman"/>
          <w:b/>
          <w:sz w:val="24"/>
          <w:szCs w:val="24"/>
        </w:rPr>
        <w:t>19</w:t>
      </w:r>
      <w:r w:rsidR="00673A1F">
        <w:rPr>
          <w:rFonts w:ascii="Times New Roman" w:hAnsi="Times New Roman" w:cs="Times New Roman"/>
          <w:b/>
          <w:sz w:val="24"/>
          <w:szCs w:val="24"/>
          <w:lang w:val="uk-UA"/>
        </w:rPr>
        <w:t>-01</w:t>
      </w:r>
      <w:r w:rsidR="00327FBC" w:rsidRPr="00982ABE">
        <w:rPr>
          <w:rFonts w:ascii="Times New Roman" w:hAnsi="Times New Roman" w:cs="Times New Roman"/>
          <w:b/>
          <w:sz w:val="24"/>
          <w:szCs w:val="24"/>
        </w:rPr>
        <w:t>-4</w:t>
      </w:r>
      <w:r w:rsidR="0097010F" w:rsidRPr="00F52EC7">
        <w:rPr>
          <w:rFonts w:ascii="Times New Roman" w:hAnsi="Times New Roman" w:cs="Times New Roman"/>
          <w:b/>
          <w:sz w:val="24"/>
          <w:szCs w:val="24"/>
          <w:lang w:val="uk-UA"/>
        </w:rPr>
        <w:t xml:space="preserve"> від </w:t>
      </w:r>
      <w:r w:rsidR="00327FBC">
        <w:rPr>
          <w:rFonts w:ascii="Times New Roman" w:hAnsi="Times New Roman" w:cs="Times New Roman"/>
          <w:b/>
          <w:sz w:val="24"/>
          <w:szCs w:val="24"/>
          <w:lang w:val="uk-UA"/>
        </w:rPr>
        <w:t>19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327FBC">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6E2652DC"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F4475D">
        <w:rPr>
          <w:rFonts w:ascii="Times New Roman" w:hAnsi="Times New Roman" w:cs="Times New Roman"/>
          <w:b/>
          <w:spacing w:val="-3"/>
          <w:sz w:val="28"/>
          <w:szCs w:val="28"/>
          <w:lang w:val="uk-UA"/>
        </w:rPr>
        <w:t xml:space="preserve"> провулка</w:t>
      </w:r>
      <w:r w:rsidRPr="00E248A7">
        <w:rPr>
          <w:rFonts w:ascii="Times New Roman" w:hAnsi="Times New Roman" w:cs="Times New Roman"/>
          <w:b/>
          <w:spacing w:val="-3"/>
          <w:sz w:val="28"/>
          <w:szCs w:val="28"/>
          <w:lang w:val="uk-UA"/>
        </w:rPr>
        <w:t xml:space="preserve"> </w:t>
      </w:r>
      <w:r w:rsidR="00F4475D">
        <w:rPr>
          <w:rFonts w:ascii="Times New Roman" w:hAnsi="Times New Roman" w:cs="Times New Roman"/>
          <w:b/>
          <w:spacing w:val="-3"/>
          <w:sz w:val="28"/>
          <w:szCs w:val="28"/>
          <w:lang w:val="uk-UA"/>
        </w:rPr>
        <w:t xml:space="preserve">між </w:t>
      </w:r>
      <w:r w:rsidRPr="00E248A7">
        <w:rPr>
          <w:rFonts w:ascii="Times New Roman" w:hAnsi="Times New Roman" w:cs="Times New Roman"/>
          <w:b/>
          <w:spacing w:val="-3"/>
          <w:sz w:val="28"/>
          <w:szCs w:val="28"/>
          <w:lang w:val="uk-UA"/>
        </w:rPr>
        <w:t xml:space="preserve">вул. </w:t>
      </w:r>
      <w:r w:rsidR="009F727F">
        <w:rPr>
          <w:rFonts w:ascii="Times New Roman" w:hAnsi="Times New Roman" w:cs="Times New Roman"/>
          <w:b/>
          <w:spacing w:val="-3"/>
          <w:sz w:val="28"/>
          <w:szCs w:val="28"/>
          <w:lang w:val="uk-UA"/>
        </w:rPr>
        <w:t>Берегового та вул.</w:t>
      </w:r>
      <w:r w:rsidR="009F727F" w:rsidRPr="009F727F">
        <w:rPr>
          <w:rFonts w:ascii="Times New Roman" w:hAnsi="Times New Roman" w:cs="Times New Roman"/>
          <w:b/>
          <w:spacing w:val="-3"/>
          <w:sz w:val="28"/>
          <w:szCs w:val="28"/>
        </w:rPr>
        <w:t xml:space="preserve"> </w:t>
      </w:r>
      <w:r w:rsidR="009F727F">
        <w:rPr>
          <w:rFonts w:ascii="Times New Roman" w:hAnsi="Times New Roman" w:cs="Times New Roman"/>
          <w:b/>
          <w:spacing w:val="-3"/>
          <w:sz w:val="28"/>
          <w:szCs w:val="28"/>
          <w:lang w:val="uk-UA"/>
        </w:rPr>
        <w:t>Українська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F4475D"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6724752B" w14:textId="4D47C40D" w:rsidR="00F4475D" w:rsidRDefault="00F4475D" w:rsidP="00341968">
            <w:pPr>
              <w:pStyle w:val="11"/>
              <w:widowControl w:val="0"/>
              <w:spacing w:line="240" w:lineRule="auto"/>
              <w:jc w:val="both"/>
              <w:rPr>
                <w:rFonts w:ascii="Times New Roman" w:hAnsi="Times New Roman" w:cs="Times New Roman"/>
                <w:color w:val="auto"/>
                <w:sz w:val="24"/>
                <w:szCs w:val="24"/>
                <w:lang w:val="uk-UA"/>
              </w:rPr>
            </w:pPr>
            <w:r w:rsidRPr="00F4475D">
              <w:rPr>
                <w:rFonts w:ascii="Times New Roman" w:hAnsi="Times New Roman" w:cs="Times New Roman"/>
                <w:color w:val="auto"/>
                <w:sz w:val="24"/>
                <w:szCs w:val="24"/>
                <w:lang w:val="uk-UA"/>
              </w:rPr>
              <w:t>Послуги з поточного ремонту дороги провулка між вул.</w:t>
            </w:r>
            <w:r w:rsidR="009F727F">
              <w:rPr>
                <w:rFonts w:ascii="Times New Roman" w:hAnsi="Times New Roman" w:cs="Times New Roman"/>
                <w:color w:val="auto"/>
                <w:sz w:val="24"/>
                <w:szCs w:val="24"/>
                <w:lang w:val="uk-UA"/>
              </w:rPr>
              <w:t xml:space="preserve"> Берегового та вул. Українська</w:t>
            </w:r>
            <w:r w:rsidRPr="00F4475D">
              <w:rPr>
                <w:rFonts w:ascii="Times New Roman" w:hAnsi="Times New Roman" w:cs="Times New Roman"/>
                <w:color w:val="auto"/>
                <w:sz w:val="24"/>
                <w:szCs w:val="24"/>
                <w:lang w:val="uk-UA"/>
              </w:rPr>
              <w:t>,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p>
          <w:p w14:paraId="79DEF7B7" w14:textId="7CAFD7FF"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9DEF7C1" w14:textId="1218F7CA" w:rsidR="000807DB" w:rsidRPr="006E7206" w:rsidRDefault="009D0527" w:rsidP="009F727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w:t>
            </w:r>
            <w:r w:rsidR="00F4475D">
              <w:rPr>
                <w:rFonts w:ascii="Times New Roman" w:eastAsia="Times New Roman" w:hAnsi="Times New Roman" w:cs="Times New Roman"/>
                <w:b/>
                <w:color w:val="auto"/>
                <w:sz w:val="24"/>
                <w:szCs w:val="24"/>
                <w:lang w:val="uk-UA"/>
              </w:rPr>
              <w:t>провулок</w:t>
            </w:r>
            <w:r w:rsidR="00F4475D" w:rsidRPr="00F4475D">
              <w:rPr>
                <w:rFonts w:ascii="Times New Roman" w:eastAsia="Times New Roman" w:hAnsi="Times New Roman" w:cs="Times New Roman"/>
                <w:b/>
                <w:color w:val="auto"/>
                <w:sz w:val="24"/>
                <w:szCs w:val="24"/>
                <w:lang w:val="uk-UA"/>
              </w:rPr>
              <w:t xml:space="preserve"> між вул. Берегового та вул. </w:t>
            </w:r>
            <w:r w:rsidR="009F727F">
              <w:rPr>
                <w:rFonts w:ascii="Times New Roman" w:eastAsia="Times New Roman" w:hAnsi="Times New Roman" w:cs="Times New Roman"/>
                <w:b/>
                <w:color w:val="auto"/>
                <w:sz w:val="24"/>
                <w:szCs w:val="24"/>
                <w:lang w:val="uk-UA"/>
              </w:rPr>
              <w:t>Українська</w:t>
            </w:r>
            <w:r w:rsidR="00F4475D" w:rsidRPr="00F4475D">
              <w:rPr>
                <w:rFonts w:ascii="Times New Roman" w:eastAsia="Times New Roman" w:hAnsi="Times New Roman" w:cs="Times New Roman"/>
                <w:b/>
                <w:color w:val="auto"/>
                <w:sz w:val="24"/>
                <w:szCs w:val="24"/>
                <w:lang w:val="uk-UA"/>
              </w:rPr>
              <w:t xml:space="preserve">, м. Баштанка, Миколаївської області </w:t>
            </w: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982ABE"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982ABE"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982ABE"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982ABE"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8D99AC3" w14:textId="77777777" w:rsidR="00982ABE" w:rsidRPr="00982ABE" w:rsidRDefault="00982ABE" w:rsidP="00982ABE">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удосконалений електронний  підпис. </w:t>
            </w:r>
          </w:p>
          <w:p w14:paraId="6F12FC96" w14:textId="77777777" w:rsidR="00982ABE" w:rsidRPr="00982ABE" w:rsidRDefault="00982ABE" w:rsidP="00982ABE">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або удосконалений електронний  підпис особи уповноваженої на підписання тендерної пропозиції учасника. </w:t>
            </w:r>
          </w:p>
          <w:p w14:paraId="15DED1E5" w14:textId="7C722CD6" w:rsidR="00554DC3" w:rsidRPr="006E7206" w:rsidRDefault="00982ABE" w:rsidP="00982ABE">
            <w:pPr>
              <w:spacing w:before="150" w:after="150" w:line="240" w:lineRule="auto"/>
              <w:jc w:val="both"/>
              <w:rPr>
                <w:rFonts w:ascii="Times New Roman" w:eastAsia="Times New Roman" w:hAnsi="Times New Roman" w:cs="Times New Roman"/>
                <w:sz w:val="24"/>
                <w:szCs w:val="24"/>
                <w:lang w:val="uk-UA" w:eastAsia="ru-RU"/>
              </w:rPr>
            </w:pPr>
            <w:r w:rsidRPr="00982ABE">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або удосконалений електронний  підпис особи уповноваженої на підписання тендерної пропозиції учасник</w:t>
            </w:r>
            <w:r>
              <w:rPr>
                <w:rFonts w:ascii="Times New Roman" w:eastAsia="Times New Roman" w:hAnsi="Times New Roman" w:cs="Times New Roman"/>
                <w:sz w:val="24"/>
                <w:szCs w:val="24"/>
                <w:lang w:val="uk-UA" w:eastAsia="ru-RU"/>
              </w:rPr>
              <w:t>а на кожен електронний документ</w:t>
            </w:r>
            <w:r w:rsidR="00554DC3" w:rsidRPr="006E7206">
              <w:rPr>
                <w:rFonts w:ascii="Times New Roman" w:eastAsia="Times New Roman" w:hAnsi="Times New Roman" w:cs="Times New Roman"/>
                <w:sz w:val="24"/>
                <w:szCs w:val="24"/>
                <w:lang w:val="uk-UA" w:eastAsia="ru-RU"/>
              </w:rPr>
              <w:t>.</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982ABE"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2A977BB6" w14:textId="77777777" w:rsidR="00645FFF" w:rsidRPr="00645FFF" w:rsidRDefault="009F727F" w:rsidP="00645FF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w:t>
            </w:r>
            <w:r w:rsidR="00645FFF" w:rsidRPr="00645FFF">
              <w:rPr>
                <w:rFonts w:ascii="Times New Roman" w:eastAsia="Times New Roman" w:hAnsi="Times New Roman" w:cs="Times New Roman"/>
                <w:sz w:val="24"/>
                <w:szCs w:val="24"/>
                <w:shd w:val="clear" w:color="auto" w:fill="FFFFFF"/>
                <w:lang w:val="uk-UA" w:eastAsia="ru-RU"/>
              </w:rPr>
              <w:t>сертифікати щебня;</w:t>
            </w:r>
          </w:p>
          <w:p w14:paraId="18E552F4" w14:textId="1071CA64" w:rsidR="00805111" w:rsidRPr="006E7206" w:rsidRDefault="00645FFF" w:rsidP="00645FFF">
            <w:pPr>
              <w:spacing w:after="0" w:line="240" w:lineRule="auto"/>
              <w:ind w:left="-79" w:firstLine="283"/>
              <w:jc w:val="both"/>
              <w:rPr>
                <w:rFonts w:ascii="Times New Roman" w:eastAsia="Times New Roman" w:hAnsi="Times New Roman" w:cs="Times New Roman"/>
                <w:sz w:val="24"/>
                <w:szCs w:val="24"/>
                <w:lang w:val="uk-UA" w:eastAsia="ru-RU"/>
              </w:rPr>
            </w:pPr>
            <w:r w:rsidRPr="00645FFF">
              <w:rPr>
                <w:rFonts w:ascii="Times New Roman" w:eastAsia="Times New Roman" w:hAnsi="Times New Roman" w:cs="Times New Roman"/>
                <w:sz w:val="24"/>
                <w:szCs w:val="24"/>
                <w:shd w:val="clear" w:color="auto" w:fill="FFFFFF"/>
                <w:lang w:val="uk-UA" w:eastAsia="ru-RU"/>
              </w:rPr>
              <w:t xml:space="preserve">  - атестація асфальтобетонного заводу.</w:t>
            </w:r>
            <w:bookmarkStart w:id="0" w:name="_GoBack"/>
            <w:bookmarkEnd w:id="0"/>
          </w:p>
        </w:tc>
      </w:tr>
      <w:tr w:rsidR="00554DC3" w:rsidRPr="00982ABE"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982ABE"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51EDA8A8"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327FBC">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6E7206">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w:t>
            </w:r>
            <w:r w:rsidRPr="006E7206">
              <w:rPr>
                <w:rFonts w:ascii="Times New Roman" w:eastAsia="Times New Roman" w:hAnsi="Times New Roman" w:cs="Times New Roman"/>
                <w:sz w:val="24"/>
                <w:szCs w:val="24"/>
                <w:lang w:val="uk-UA" w:eastAsia="ru-RU"/>
              </w:rPr>
              <w:lastRenderedPageBreak/>
              <w:t>положень Податкового кодексу України. У разі, якщо учасник не є платником ПДВ, ціна тендерної пропозиції зазначається без ПДВ.</w:t>
            </w:r>
          </w:p>
        </w:tc>
      </w:tr>
      <w:tr w:rsidR="00554DC3" w:rsidRPr="00982ABE"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України» від </w:t>
            </w:r>
            <w:r w:rsidRPr="006E7206">
              <w:rPr>
                <w:rFonts w:ascii="Times New Roman" w:eastAsia="Times New Roman" w:hAnsi="Times New Roman" w:cs="Times New Roman"/>
                <w:sz w:val="24"/>
                <w:szCs w:val="24"/>
                <w:lang w:val="uk-UA" w:eastAsia="ru-RU"/>
              </w:rPr>
              <w:lastRenderedPageBreak/>
              <w:t>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w:t>
            </w:r>
            <w:r w:rsidRPr="006E7206">
              <w:rPr>
                <w:rFonts w:ascii="Times New Roman" w:eastAsia="Times New Roman" w:hAnsi="Times New Roman"/>
                <w:sz w:val="24"/>
                <w:szCs w:val="24"/>
                <w:lang w:val="uk-UA"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982ABE"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982ABE"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982ABE"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982ABE"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982ABE"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982ABE"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982ABE"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982ABE"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982ABE"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982ABE"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982ABE"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982ABE"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982ABE"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77777777" w:rsidR="008C7D77" w:rsidRPr="009F727F" w:rsidRDefault="008C7D77" w:rsidP="008C7D77">
      <w:pPr>
        <w:rPr>
          <w:lang w:val="uk-UA"/>
        </w:rPr>
      </w:pPr>
    </w:p>
    <w:p w14:paraId="10533651" w14:textId="29A673BE" w:rsidR="008C7D77" w:rsidRPr="00850F52" w:rsidRDefault="008C7D77" w:rsidP="008C7D77">
      <w:pPr>
        <w:rPr>
          <w:lang w:val="uk-UA"/>
        </w:rPr>
      </w:pPr>
      <w:r>
        <w:t>Поточний ремонт</w:t>
      </w:r>
      <w:r>
        <w:rPr>
          <w:lang w:val="uk-UA"/>
        </w:rPr>
        <w:t xml:space="preserve"> дороги</w:t>
      </w:r>
      <w:r>
        <w:t xml:space="preserve"> провулку між вул. Берегового та вул. </w:t>
      </w:r>
      <w:r w:rsidR="00850F52">
        <w:rPr>
          <w:lang w:val="uk-UA"/>
        </w:rPr>
        <w:t>Українська</w:t>
      </w:r>
    </w:p>
    <w:p w14:paraId="63577580" w14:textId="77777777" w:rsidR="008C7D77" w:rsidRPr="00400FFD" w:rsidRDefault="008C7D77" w:rsidP="008C7D77"/>
    <w:tbl>
      <w:tblPr>
        <w:tblW w:w="7260" w:type="dxa"/>
        <w:tblInd w:w="95" w:type="dxa"/>
        <w:tblLook w:val="04A0" w:firstRow="1" w:lastRow="0" w:firstColumn="1" w:lastColumn="0" w:noHBand="0" w:noVBand="1"/>
      </w:tblPr>
      <w:tblGrid>
        <w:gridCol w:w="621"/>
        <w:gridCol w:w="4530"/>
        <w:gridCol w:w="1059"/>
        <w:gridCol w:w="1050"/>
      </w:tblGrid>
      <w:tr w:rsidR="00B02A89" w:rsidRPr="009F04AF" w14:paraId="692848D1" w14:textId="77777777" w:rsidTr="004B66D8">
        <w:trPr>
          <w:trHeight w:val="57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984A"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w:t>
            </w:r>
            <w:r w:rsidRPr="009F04AF">
              <w:rPr>
                <w:rFonts w:ascii="Arial CYR" w:eastAsia="Times New Roman" w:hAnsi="Arial CYR" w:cs="Arial CYR"/>
                <w:color w:val="000000"/>
                <w:sz w:val="20"/>
                <w:szCs w:val="20"/>
                <w:lang w:eastAsia="ru-RU"/>
              </w:rPr>
              <w:br/>
              <w:t>Ч.ч..</w:t>
            </w:r>
          </w:p>
        </w:tc>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543EC"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Найменування робіт і витрат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B83EF"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Одиниця</w:t>
            </w:r>
            <w:r w:rsidRPr="009F04AF">
              <w:rPr>
                <w:rFonts w:ascii="Arial CYR" w:eastAsia="Times New Roman" w:hAnsi="Arial CYR" w:cs="Arial CYR"/>
                <w:color w:val="000000"/>
                <w:sz w:val="20"/>
                <w:szCs w:val="20"/>
                <w:lang w:eastAsia="ru-RU"/>
              </w:rPr>
              <w:br/>
              <w:t>виміру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14170"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Кіль-</w:t>
            </w:r>
            <w:r w:rsidRPr="009F04AF">
              <w:rPr>
                <w:rFonts w:ascii="Arial CYR" w:eastAsia="Times New Roman" w:hAnsi="Arial CYR" w:cs="Arial CYR"/>
                <w:color w:val="000000"/>
                <w:sz w:val="20"/>
                <w:szCs w:val="20"/>
                <w:lang w:eastAsia="ru-RU"/>
              </w:rPr>
              <w:br/>
              <w:t>кість</w:t>
            </w:r>
          </w:p>
        </w:tc>
      </w:tr>
      <w:tr w:rsidR="00B02A89" w:rsidRPr="009F04AF" w14:paraId="4C905162" w14:textId="77777777" w:rsidTr="004B66D8">
        <w:trPr>
          <w:trHeight w:val="1103"/>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97E5FAE"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14:paraId="10296351"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ED3CA62"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E07CEAB"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68799AF8" w14:textId="77777777" w:rsidTr="004B66D8">
        <w:trPr>
          <w:trHeight w:val="3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8EFF95"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w:t>
            </w:r>
          </w:p>
        </w:tc>
        <w:tc>
          <w:tcPr>
            <w:tcW w:w="4640" w:type="dxa"/>
            <w:tcBorders>
              <w:top w:val="nil"/>
              <w:left w:val="nil"/>
              <w:bottom w:val="single" w:sz="4" w:space="0" w:color="auto"/>
              <w:right w:val="single" w:sz="4" w:space="0" w:color="auto"/>
            </w:tcBorders>
            <w:shd w:val="clear" w:color="auto" w:fill="auto"/>
            <w:vAlign w:val="center"/>
            <w:hideMark/>
          </w:tcPr>
          <w:p w14:paraId="23EFCEF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2</w:t>
            </w:r>
          </w:p>
        </w:tc>
        <w:tc>
          <w:tcPr>
            <w:tcW w:w="1060" w:type="dxa"/>
            <w:tcBorders>
              <w:top w:val="nil"/>
              <w:left w:val="nil"/>
              <w:bottom w:val="single" w:sz="4" w:space="0" w:color="auto"/>
              <w:right w:val="single" w:sz="4" w:space="0" w:color="auto"/>
            </w:tcBorders>
            <w:shd w:val="clear" w:color="auto" w:fill="auto"/>
            <w:hideMark/>
          </w:tcPr>
          <w:p w14:paraId="41E2EF4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A018C8C"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4</w:t>
            </w:r>
          </w:p>
        </w:tc>
      </w:tr>
      <w:tr w:rsidR="00B02A89" w:rsidRPr="009F04AF" w14:paraId="7C9A33D9"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1C3AFA35"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1D9D7C20"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Холодне фрезерування асфальтобетонного</w:t>
            </w:r>
            <w:r w:rsidRPr="009F04AF">
              <w:rPr>
                <w:rFonts w:ascii="Arial CYR" w:eastAsia="Times New Roman" w:hAnsi="Arial CYR" w:cs="Arial CYR"/>
                <w:color w:val="000000"/>
                <w:sz w:val="20"/>
                <w:szCs w:val="20"/>
                <w:lang w:eastAsia="ru-RU"/>
              </w:rPr>
              <w:br/>
              <w:t>покриття фрезою шириною фрезерування 0,</w:t>
            </w:r>
            <w:r w:rsidRPr="009F04AF">
              <w:rPr>
                <w:rFonts w:ascii="Arial CYR" w:eastAsia="Times New Roman" w:hAnsi="Arial CYR" w:cs="Arial CYR"/>
                <w:color w:val="000000"/>
                <w:sz w:val="20"/>
                <w:szCs w:val="20"/>
                <w:lang w:eastAsia="ru-RU"/>
              </w:rPr>
              <w:br/>
              <w:t>5 м при глибині фрезерування 5 см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3DAFAC4B"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719CD4"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0,405</w:t>
            </w:r>
          </w:p>
        </w:tc>
      </w:tr>
      <w:tr w:rsidR="00B02A89" w:rsidRPr="009F04AF" w14:paraId="33B5E96B" w14:textId="77777777" w:rsidTr="004B66D8">
        <w:trPr>
          <w:trHeight w:val="563"/>
        </w:trPr>
        <w:tc>
          <w:tcPr>
            <w:tcW w:w="500" w:type="dxa"/>
            <w:vMerge/>
            <w:tcBorders>
              <w:top w:val="nil"/>
              <w:left w:val="single" w:sz="4" w:space="0" w:color="auto"/>
              <w:bottom w:val="single" w:sz="4" w:space="0" w:color="auto"/>
              <w:right w:val="single" w:sz="4" w:space="0" w:color="auto"/>
            </w:tcBorders>
            <w:vAlign w:val="center"/>
            <w:hideMark/>
          </w:tcPr>
          <w:p w14:paraId="42C40CEF"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76310576"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1AB7B80"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AADAC40"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77F768C0"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64C8835D"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2</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7B646A49"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Улаштування підстильних та</w:t>
            </w:r>
            <w:r w:rsidRPr="009F04AF">
              <w:rPr>
                <w:rFonts w:ascii="Arial CYR" w:eastAsia="Times New Roman" w:hAnsi="Arial CYR" w:cs="Arial CYR"/>
                <w:color w:val="000000"/>
                <w:sz w:val="20"/>
                <w:szCs w:val="20"/>
                <w:lang w:eastAsia="ru-RU"/>
              </w:rPr>
              <w:br/>
              <w:t>вирівнювальних шарів основи з піщано-</w:t>
            </w:r>
            <w:r w:rsidRPr="009F04AF">
              <w:rPr>
                <w:rFonts w:ascii="Arial CYR" w:eastAsia="Times New Roman" w:hAnsi="Arial CYR" w:cs="Arial CYR"/>
                <w:color w:val="000000"/>
                <w:sz w:val="20"/>
                <w:szCs w:val="20"/>
                <w:lang w:eastAsia="ru-RU"/>
              </w:rPr>
              <w:br/>
              <w:t>щебеневої суміші 0-40мм (С7), товщ.5см</w:t>
            </w:r>
            <w:r w:rsidRPr="009F04AF">
              <w:rPr>
                <w:rFonts w:ascii="Arial CYR" w:eastAsia="Times New Roman" w:hAnsi="Arial CYR" w:cs="Arial CYR"/>
                <w:color w:val="000000"/>
                <w:sz w:val="20"/>
                <w:szCs w:val="20"/>
                <w:lang w:eastAsia="ru-RU"/>
              </w:rPr>
              <w:br/>
              <w:t>кількість: 405*0,05</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564E7B1D"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D5E679"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0,2025</w:t>
            </w:r>
          </w:p>
        </w:tc>
      </w:tr>
      <w:tr w:rsidR="00B02A89" w:rsidRPr="009F04AF" w14:paraId="76836553"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697A81D0"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1BD2F057"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65B030A"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904A68"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4F8E048A"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29D31093"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3</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212F8EC7"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Улаштування вирівнювального шару з</w:t>
            </w:r>
            <w:r w:rsidRPr="009F04AF">
              <w:rPr>
                <w:rFonts w:ascii="Arial CYR" w:eastAsia="Times New Roman" w:hAnsi="Arial CYR" w:cs="Arial CYR"/>
                <w:color w:val="000000"/>
                <w:sz w:val="20"/>
                <w:szCs w:val="20"/>
                <w:lang w:eastAsia="ru-RU"/>
              </w:rPr>
              <w:br/>
              <w:t>асфальтобетонної суміші із застосуванням</w:t>
            </w:r>
            <w:r w:rsidRPr="009F04AF">
              <w:rPr>
                <w:rFonts w:ascii="Arial CYR" w:eastAsia="Times New Roman" w:hAnsi="Arial CYR" w:cs="Arial CYR"/>
                <w:color w:val="000000"/>
                <w:sz w:val="20"/>
                <w:szCs w:val="20"/>
                <w:lang w:eastAsia="ru-RU"/>
              </w:rPr>
              <w:br/>
              <w:t>укладальників асфальтобетону (5см)</w:t>
            </w:r>
            <w:r w:rsidRPr="009F04AF">
              <w:rPr>
                <w:rFonts w:ascii="Arial CYR" w:eastAsia="Times New Roman" w:hAnsi="Arial CYR" w:cs="Arial CYR"/>
                <w:color w:val="000000"/>
                <w:sz w:val="20"/>
                <w:szCs w:val="20"/>
                <w:lang w:eastAsia="ru-RU"/>
              </w:rPr>
              <w:br/>
              <w:t>кількість: 405*0,12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388524B0"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DD36D9"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0,486</w:t>
            </w:r>
          </w:p>
        </w:tc>
      </w:tr>
      <w:tr w:rsidR="00B02A89" w:rsidRPr="009F04AF" w14:paraId="6436A16A"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1650F694"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3B105A71"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D6A703F"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76120DC"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59878A65"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1EDB4556"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4</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5CFFC84F"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Укріплення узбіч щебенем товщиною шару</w:t>
            </w:r>
            <w:r w:rsidRPr="009F04AF">
              <w:rPr>
                <w:rFonts w:ascii="Arial CYR" w:eastAsia="Times New Roman" w:hAnsi="Arial CYR" w:cs="Arial CYR"/>
                <w:color w:val="000000"/>
                <w:sz w:val="20"/>
                <w:szCs w:val="20"/>
                <w:lang w:eastAsia="ru-RU"/>
              </w:rPr>
              <w:br/>
              <w:t>10 см з використанням автогрейдера</w:t>
            </w:r>
            <w:r w:rsidRPr="009F04AF">
              <w:rPr>
                <w:rFonts w:ascii="Arial CYR" w:eastAsia="Times New Roman" w:hAnsi="Arial CYR" w:cs="Arial CYR"/>
                <w:color w:val="000000"/>
                <w:sz w:val="20"/>
                <w:szCs w:val="20"/>
                <w:lang w:eastAsia="ru-RU"/>
              </w:rPr>
              <w:br/>
              <w:t>середнього типу</w:t>
            </w:r>
            <w:r w:rsidRPr="009F04AF">
              <w:rPr>
                <w:rFonts w:ascii="Arial CYR" w:eastAsia="Times New Roman" w:hAnsi="Arial CYR" w:cs="Arial CYR"/>
                <w:color w:val="000000"/>
                <w:sz w:val="20"/>
                <w:szCs w:val="20"/>
                <w:lang w:eastAsia="ru-RU"/>
              </w:rPr>
              <w:br/>
              <w:t>кількість: 105*1</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5BB47742"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5002C8"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1,05</w:t>
            </w:r>
          </w:p>
        </w:tc>
      </w:tr>
      <w:tr w:rsidR="00B02A89" w:rsidRPr="009F04AF" w14:paraId="1D28F933" w14:textId="77777777" w:rsidTr="004B66D8">
        <w:trPr>
          <w:trHeight w:val="825"/>
        </w:trPr>
        <w:tc>
          <w:tcPr>
            <w:tcW w:w="500" w:type="dxa"/>
            <w:vMerge/>
            <w:tcBorders>
              <w:top w:val="nil"/>
              <w:left w:val="single" w:sz="4" w:space="0" w:color="auto"/>
              <w:bottom w:val="single" w:sz="4" w:space="0" w:color="auto"/>
              <w:right w:val="single" w:sz="4" w:space="0" w:color="auto"/>
            </w:tcBorders>
            <w:vAlign w:val="center"/>
            <w:hideMark/>
          </w:tcPr>
          <w:p w14:paraId="3FD5396E"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72090AA6"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5FEA6C67"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F4D8D0D" w14:textId="77777777" w:rsidR="00B02A89" w:rsidRPr="009F04AF" w:rsidRDefault="00B02A89" w:rsidP="004B66D8">
            <w:pPr>
              <w:rPr>
                <w:rFonts w:ascii="Arial CYR" w:eastAsia="Times New Roman" w:hAnsi="Arial CYR" w:cs="Arial CYR"/>
                <w:bCs/>
                <w:color w:val="000000"/>
                <w:sz w:val="20"/>
                <w:szCs w:val="20"/>
                <w:lang w:eastAsia="ru-RU"/>
              </w:rPr>
            </w:pPr>
          </w:p>
        </w:tc>
      </w:tr>
      <w:tr w:rsidR="00B02A89" w:rsidRPr="009F04AF" w14:paraId="2A62BBC2" w14:textId="77777777" w:rsidTr="004B66D8">
        <w:trPr>
          <w:trHeight w:val="408"/>
        </w:trPr>
        <w:tc>
          <w:tcPr>
            <w:tcW w:w="500" w:type="dxa"/>
            <w:vMerge w:val="restart"/>
            <w:tcBorders>
              <w:top w:val="nil"/>
              <w:left w:val="single" w:sz="4" w:space="0" w:color="auto"/>
              <w:bottom w:val="single" w:sz="4" w:space="0" w:color="auto"/>
              <w:right w:val="single" w:sz="4" w:space="0" w:color="auto"/>
            </w:tcBorders>
            <w:shd w:val="clear" w:color="auto" w:fill="auto"/>
            <w:hideMark/>
          </w:tcPr>
          <w:p w14:paraId="47ECEC53"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5</w:t>
            </w:r>
          </w:p>
        </w:tc>
        <w:tc>
          <w:tcPr>
            <w:tcW w:w="4640" w:type="dxa"/>
            <w:vMerge w:val="restart"/>
            <w:tcBorders>
              <w:top w:val="nil"/>
              <w:left w:val="single" w:sz="4" w:space="0" w:color="auto"/>
              <w:bottom w:val="single" w:sz="4" w:space="0" w:color="auto"/>
              <w:right w:val="single" w:sz="4" w:space="0" w:color="auto"/>
            </w:tcBorders>
            <w:shd w:val="clear" w:color="auto" w:fill="auto"/>
            <w:hideMark/>
          </w:tcPr>
          <w:p w14:paraId="6732FAFA" w14:textId="77777777" w:rsidR="00B02A89" w:rsidRPr="009F04AF" w:rsidRDefault="00B02A89" w:rsidP="004B66D8">
            <w:pP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На кожен 1 см зміни товщини шару</w:t>
            </w:r>
            <w:r w:rsidRPr="009F04AF">
              <w:rPr>
                <w:rFonts w:ascii="Arial CYR" w:eastAsia="Times New Roman" w:hAnsi="Arial CYR" w:cs="Arial CYR"/>
                <w:color w:val="000000"/>
                <w:sz w:val="20"/>
                <w:szCs w:val="20"/>
                <w:lang w:eastAsia="ru-RU"/>
              </w:rPr>
              <w:br/>
              <w:t>віднимати з РВР 1-26-1 товщ. 8 см (К=2)</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29D325F5" w14:textId="77777777" w:rsidR="00B02A89" w:rsidRPr="009F04AF" w:rsidRDefault="00B02A89" w:rsidP="004B66D8">
            <w:pPr>
              <w:jc w:val="center"/>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100 м2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63F961" w14:textId="77777777" w:rsidR="00B02A89" w:rsidRPr="009F04AF" w:rsidRDefault="00B02A89" w:rsidP="004B66D8">
            <w:pPr>
              <w:jc w:val="right"/>
              <w:rPr>
                <w:rFonts w:ascii="Arial CYR" w:eastAsia="Times New Roman" w:hAnsi="Arial CYR" w:cs="Arial CYR"/>
                <w:bCs/>
                <w:color w:val="000000"/>
                <w:sz w:val="20"/>
                <w:szCs w:val="20"/>
                <w:lang w:eastAsia="ru-RU"/>
              </w:rPr>
            </w:pPr>
            <w:r w:rsidRPr="009F04AF">
              <w:rPr>
                <w:rFonts w:ascii="Arial CYR" w:eastAsia="Times New Roman" w:hAnsi="Arial CYR" w:cs="Arial CYR"/>
                <w:color w:val="000000"/>
                <w:sz w:val="20"/>
                <w:szCs w:val="20"/>
                <w:lang w:eastAsia="ru-RU"/>
              </w:rPr>
              <w:t>-1,05</w:t>
            </w:r>
          </w:p>
        </w:tc>
      </w:tr>
      <w:tr w:rsidR="00B02A89" w:rsidRPr="009F04AF" w14:paraId="3C25E4E3" w14:textId="77777777" w:rsidTr="004B66D8">
        <w:trPr>
          <w:trHeight w:val="408"/>
        </w:trPr>
        <w:tc>
          <w:tcPr>
            <w:tcW w:w="500" w:type="dxa"/>
            <w:vMerge/>
            <w:tcBorders>
              <w:top w:val="nil"/>
              <w:left w:val="single" w:sz="4" w:space="0" w:color="auto"/>
              <w:bottom w:val="single" w:sz="4" w:space="0" w:color="auto"/>
              <w:right w:val="single" w:sz="4" w:space="0" w:color="auto"/>
            </w:tcBorders>
            <w:vAlign w:val="center"/>
            <w:hideMark/>
          </w:tcPr>
          <w:p w14:paraId="28C9B9D3" w14:textId="77777777" w:rsidR="00B02A89" w:rsidRPr="009F04AF" w:rsidRDefault="00B02A89" w:rsidP="004B66D8">
            <w:pPr>
              <w:rPr>
                <w:rFonts w:ascii="Arial CYR" w:eastAsia="Times New Roman" w:hAnsi="Arial CYR" w:cs="Arial CYR"/>
                <w:bCs/>
                <w:color w:val="000000"/>
                <w:sz w:val="20"/>
                <w:szCs w:val="20"/>
                <w:lang w:eastAsia="ru-RU"/>
              </w:rPr>
            </w:pPr>
          </w:p>
        </w:tc>
        <w:tc>
          <w:tcPr>
            <w:tcW w:w="4640" w:type="dxa"/>
            <w:vMerge/>
            <w:tcBorders>
              <w:top w:val="nil"/>
              <w:left w:val="single" w:sz="4" w:space="0" w:color="auto"/>
              <w:bottom w:val="single" w:sz="4" w:space="0" w:color="auto"/>
              <w:right w:val="single" w:sz="4" w:space="0" w:color="auto"/>
            </w:tcBorders>
            <w:vAlign w:val="center"/>
            <w:hideMark/>
          </w:tcPr>
          <w:p w14:paraId="5DEA9DE8"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CB8A759" w14:textId="77777777" w:rsidR="00B02A89" w:rsidRPr="009F04AF" w:rsidRDefault="00B02A89" w:rsidP="004B66D8">
            <w:pPr>
              <w:rPr>
                <w:rFonts w:ascii="Arial CYR" w:eastAsia="Times New Roman" w:hAnsi="Arial CYR" w:cs="Arial CYR"/>
                <w:bCs/>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2F8C18C" w14:textId="77777777" w:rsidR="00B02A89" w:rsidRPr="009F04AF" w:rsidRDefault="00B02A89" w:rsidP="004B66D8">
            <w:pPr>
              <w:rPr>
                <w:rFonts w:ascii="Arial CYR" w:eastAsia="Times New Roman" w:hAnsi="Arial CYR" w:cs="Arial CYR"/>
                <w:bCs/>
                <w:color w:val="000000"/>
                <w:sz w:val="20"/>
                <w:szCs w:val="20"/>
                <w:lang w:eastAsia="ru-RU"/>
              </w:rPr>
            </w:pPr>
          </w:p>
        </w:tc>
      </w:tr>
    </w:tbl>
    <w:p w14:paraId="336131C2" w14:textId="77777777" w:rsidR="008C7D77" w:rsidRDefault="008C7D77" w:rsidP="008C7D77"/>
    <w:p w14:paraId="46153ECB" w14:textId="77777777" w:rsidR="00150154" w:rsidRPr="00150154" w:rsidRDefault="00150154" w:rsidP="00150154">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150154">
        <w:rPr>
          <w:rFonts w:ascii="Times New Roman" w:eastAsia="Times New Roman" w:hAnsi="Times New Roman" w:cs="Times New Roman"/>
          <w:sz w:val="24"/>
          <w:szCs w:val="24"/>
          <w:lang w:eastAsia="ru-RU"/>
        </w:rPr>
        <w:t> </w:t>
      </w:r>
    </w:p>
    <w:p w14:paraId="417FFCE1" w14:textId="77777777"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30D8C">
        <w:rPr>
          <w:rFonts w:ascii="Times New Roman" w:eastAsia="Times New Roman" w:hAnsi="Times New Roman" w:cs="Times New Roman"/>
          <w:sz w:val="24"/>
          <w:szCs w:val="24"/>
          <w:lang w:eastAsia="ru-RU"/>
        </w:rPr>
        <w:t> </w:t>
      </w: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lastRenderedPageBreak/>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0E4E396D"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150154" w:rsidRPr="00150154">
        <w:rPr>
          <w:rFonts w:ascii="Times New Roman" w:hAnsi="Times New Roman" w:cs="Times New Roman"/>
          <w:b/>
          <w:color w:val="000000"/>
          <w:sz w:val="24"/>
          <w:szCs w:val="24"/>
          <w:shd w:val="clear" w:color="auto" w:fill="FFFFFF"/>
          <w:lang w:val="uk-UA"/>
        </w:rPr>
        <w:t xml:space="preserve">Послуги з поточного ремонту дороги </w:t>
      </w:r>
      <w:r w:rsidR="008C7D77">
        <w:rPr>
          <w:rFonts w:ascii="Times New Roman" w:hAnsi="Times New Roman" w:cs="Times New Roman"/>
          <w:b/>
          <w:color w:val="000000"/>
          <w:sz w:val="24"/>
          <w:szCs w:val="24"/>
          <w:shd w:val="clear" w:color="auto" w:fill="FFFFFF"/>
          <w:lang w:val="uk-UA"/>
        </w:rPr>
        <w:t>провулка між</w:t>
      </w:r>
      <w:r w:rsidR="00150154" w:rsidRPr="00150154">
        <w:rPr>
          <w:rFonts w:ascii="Times New Roman" w:hAnsi="Times New Roman" w:cs="Times New Roman"/>
          <w:b/>
          <w:color w:val="000000"/>
          <w:sz w:val="24"/>
          <w:szCs w:val="24"/>
          <w:shd w:val="clear" w:color="auto" w:fill="FFFFFF"/>
          <w:lang w:val="uk-UA"/>
        </w:rPr>
        <w:t xml:space="preserve"> вул. </w:t>
      </w:r>
      <w:r w:rsidR="008C7D77">
        <w:rPr>
          <w:rFonts w:ascii="Times New Roman" w:hAnsi="Times New Roman" w:cs="Times New Roman"/>
          <w:b/>
          <w:color w:val="000000"/>
          <w:sz w:val="24"/>
          <w:szCs w:val="24"/>
          <w:shd w:val="clear" w:color="auto" w:fill="FFFFFF"/>
          <w:lang w:val="uk-UA"/>
        </w:rPr>
        <w:t xml:space="preserve">Берегового та вул. </w:t>
      </w:r>
      <w:r w:rsidR="00B02A89">
        <w:rPr>
          <w:rFonts w:ascii="Times New Roman" w:hAnsi="Times New Roman" w:cs="Times New Roman"/>
          <w:b/>
          <w:color w:val="000000"/>
          <w:sz w:val="24"/>
          <w:szCs w:val="24"/>
          <w:shd w:val="clear" w:color="auto" w:fill="FFFFFF"/>
          <w:lang w:val="uk-UA"/>
        </w:rPr>
        <w:t>Українська</w:t>
      </w:r>
      <w:r w:rsidR="00150154" w:rsidRPr="00150154">
        <w:rPr>
          <w:rFonts w:ascii="Times New Roman" w:hAnsi="Times New Roman" w:cs="Times New Roman"/>
          <w:b/>
          <w:color w:val="000000"/>
          <w:sz w:val="24"/>
          <w:szCs w:val="24"/>
          <w:shd w:val="clear" w:color="auto" w:fill="FFFFFF"/>
          <w:lang w:val="uk-UA"/>
        </w:rPr>
        <w:t>, м. Ба</w:t>
      </w:r>
      <w:r w:rsidR="00150154">
        <w:rPr>
          <w:rFonts w:ascii="Times New Roman" w:hAnsi="Times New Roman" w:cs="Times New Roman"/>
          <w:b/>
          <w:color w:val="000000"/>
          <w:sz w:val="24"/>
          <w:szCs w:val="24"/>
          <w:shd w:val="clear" w:color="auto" w:fill="FFFFFF"/>
          <w:lang w:val="uk-UA"/>
        </w:rPr>
        <w:t xml:space="preserve">штанка, Миколаївської області.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FB69" w14:textId="77777777" w:rsidR="00DB2C6E" w:rsidRDefault="00DB2C6E" w:rsidP="00DA335A">
      <w:pPr>
        <w:spacing w:after="0" w:line="240" w:lineRule="auto"/>
      </w:pPr>
      <w:r>
        <w:separator/>
      </w:r>
    </w:p>
  </w:endnote>
  <w:endnote w:type="continuationSeparator" w:id="0">
    <w:p w14:paraId="03F816E0" w14:textId="77777777" w:rsidR="00DB2C6E" w:rsidRDefault="00DB2C6E"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8E32" w14:textId="77777777" w:rsidR="00DB2C6E" w:rsidRDefault="00DB2C6E" w:rsidP="00DA335A">
      <w:pPr>
        <w:spacing w:after="0" w:line="240" w:lineRule="auto"/>
      </w:pPr>
      <w:r>
        <w:separator/>
      </w:r>
    </w:p>
  </w:footnote>
  <w:footnote w:type="continuationSeparator" w:id="0">
    <w:p w14:paraId="6679214D" w14:textId="77777777" w:rsidR="00DB2C6E" w:rsidRDefault="00DB2C6E"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3EB0"/>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27FBC"/>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45FFF"/>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0F52"/>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2ABE"/>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27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2A89"/>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1E1B"/>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577C4"/>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2C6E"/>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81CB5-C3A1-4167-8DCA-1D987456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32</Pages>
  <Words>10302</Words>
  <Characters>58724</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172</cp:revision>
  <cp:lastPrinted>2023-06-26T07:07:00Z</cp:lastPrinted>
  <dcterms:created xsi:type="dcterms:W3CDTF">2023-03-03T12:17:00Z</dcterms:created>
  <dcterms:modified xsi:type="dcterms:W3CDTF">2023-09-25T08:57:00Z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