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7F" w:rsidRDefault="00F0167F">
      <w:pPr>
        <w:spacing w:line="1" w:lineRule="exact"/>
      </w:pPr>
    </w:p>
    <w:p w:rsidR="005735DE" w:rsidRDefault="005735DE">
      <w:pPr>
        <w:spacing w:line="1" w:lineRule="exact"/>
      </w:pPr>
    </w:p>
    <w:p w:rsidR="00B0150F" w:rsidRDefault="00B0150F" w:rsidP="00B0150F">
      <w:pPr>
        <w:ind w:firstLine="567"/>
        <w:jc w:val="right"/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Додаток 1</w:t>
      </w:r>
    </w:p>
    <w:p w:rsidR="00B0150F" w:rsidRDefault="00B0150F" w:rsidP="00B0150F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До оголошення про проведення</w:t>
      </w:r>
    </w:p>
    <w:p w:rsidR="00B0150F" w:rsidRDefault="00B0150F" w:rsidP="00B0150F">
      <w:pPr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                                      спрощеної закупівлі  </w:t>
      </w:r>
    </w:p>
    <w:p w:rsidR="005735DE" w:rsidRPr="005735DE" w:rsidRDefault="005735DE" w:rsidP="005735DE"/>
    <w:p w:rsidR="00B0150F" w:rsidRDefault="00B0150F" w:rsidP="00B0150F">
      <w:pPr>
        <w:pStyle w:val="1"/>
        <w:framePr w:w="9989" w:h="998" w:hRule="exact" w:wrap="none" w:vAnchor="page" w:hAnchor="page" w:x="1452" w:y="1561"/>
        <w:spacing w:after="0"/>
        <w:jc w:val="center"/>
      </w:pPr>
      <w:r>
        <w:t>ТЕХНІЧНІ ВИМОГИ</w:t>
      </w:r>
    </w:p>
    <w:p w:rsidR="00B0150F" w:rsidRDefault="00B0150F" w:rsidP="00B0150F">
      <w:pPr>
        <w:pStyle w:val="1"/>
        <w:framePr w:w="9989" w:h="998" w:hRule="exact" w:wrap="none" w:vAnchor="page" w:hAnchor="page" w:x="1452" w:y="1561"/>
        <w:spacing w:after="0"/>
        <w:jc w:val="center"/>
      </w:pPr>
      <w:r>
        <w:t xml:space="preserve">до </w:t>
      </w:r>
      <w:r w:rsidRPr="005735DE">
        <w:t>програмного забезпечення Cisco PS Calling for EMEAR – Professional</w:t>
      </w:r>
    </w:p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tbl>
      <w:tblPr>
        <w:tblOverlap w:val="never"/>
        <w:tblW w:w="9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120"/>
        <w:gridCol w:w="1426"/>
        <w:gridCol w:w="1584"/>
      </w:tblGrid>
      <w:tr w:rsidR="00B0150F" w:rsidTr="005735DE"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50F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50F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50F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0F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 w:rsidR="00B0150F" w:rsidTr="005735DE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50F" w:rsidRPr="005735DE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ind w:firstLine="140"/>
              <w:rPr>
                <w:b w:val="0"/>
              </w:rPr>
            </w:pPr>
            <w:r w:rsidRPr="005735DE">
              <w:rPr>
                <w:b w:val="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50F" w:rsidRPr="005735DE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rPr>
                <w:b w:val="0"/>
              </w:rPr>
            </w:pPr>
            <w:r w:rsidRPr="005735DE">
              <w:rPr>
                <w:b w:val="0"/>
              </w:rPr>
              <w:t xml:space="preserve">Програмне забезпечення Cisco PS Calling for EMEAR – Professional або еквівалент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50F" w:rsidRPr="005735DE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b w:val="0"/>
              </w:rPr>
            </w:pPr>
            <w:r w:rsidRPr="005735DE">
              <w:rPr>
                <w:b w:val="0"/>
              </w:rPr>
              <w:t>шт.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0F" w:rsidRPr="005735DE" w:rsidRDefault="00B0150F" w:rsidP="00B0150F">
            <w:pPr>
              <w:pStyle w:val="a5"/>
              <w:framePr w:w="9859" w:h="2237" w:wrap="none" w:vAnchor="page" w:hAnchor="page" w:x="1582" w:y="2833"/>
              <w:spacing w:after="0"/>
              <w:jc w:val="center"/>
              <w:rPr>
                <w:b w:val="0"/>
              </w:rPr>
            </w:pPr>
            <w:r w:rsidRPr="005735DE">
              <w:rPr>
                <w:b w:val="0"/>
              </w:rPr>
              <w:t>60</w:t>
            </w:r>
          </w:p>
        </w:tc>
      </w:tr>
    </w:tbl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/>
    <w:p w:rsidR="005735DE" w:rsidRPr="005735DE" w:rsidRDefault="005735DE" w:rsidP="005735DE">
      <w:pPr>
        <w:pStyle w:val="a8"/>
        <w:jc w:val="both"/>
        <w:rPr>
          <w:rFonts w:ascii="Times New Roman" w:hAnsi="Times New Roman" w:cs="Times New Roman"/>
        </w:rPr>
      </w:pPr>
    </w:p>
    <w:p w:rsidR="005735DE" w:rsidRPr="005735DE" w:rsidRDefault="005735DE" w:rsidP="005735DE">
      <w:pPr>
        <w:pStyle w:val="a8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5735DE">
        <w:rPr>
          <w:rFonts w:ascii="Times New Roman" w:hAnsi="Times New Roman" w:cs="Times New Roman"/>
          <w:sz w:val="28"/>
          <w:szCs w:val="28"/>
        </w:rPr>
        <w:t xml:space="preserve">Гарантійні зобов’язання та технічна підтримка </w:t>
      </w:r>
      <w:r>
        <w:rPr>
          <w:rFonts w:ascii="Times New Roman" w:hAnsi="Times New Roman" w:cs="Times New Roman"/>
          <w:sz w:val="28"/>
          <w:szCs w:val="28"/>
        </w:rPr>
        <w:t xml:space="preserve">на програмне забезпечення </w:t>
      </w:r>
      <w:r w:rsidRPr="005735DE">
        <w:rPr>
          <w:rFonts w:ascii="Times New Roman" w:hAnsi="Times New Roman" w:cs="Times New Roman"/>
          <w:sz w:val="28"/>
          <w:szCs w:val="28"/>
        </w:rPr>
        <w:t>від виробника повинна становити: не менше 12 місяців. Гарантійні зобов’язання та технічна підтримка мають бути підтверджені офіційним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735DE">
        <w:rPr>
          <w:rFonts w:ascii="Times New Roman" w:hAnsi="Times New Roman" w:cs="Times New Roman"/>
          <w:sz w:val="28"/>
          <w:szCs w:val="28"/>
        </w:rPr>
        <w:t>вторизаційним листом від виробника (у разі надання авторизаційного листа від виробника іноземною мовою, цей лист повинен супроводжуватись перекладом на українську мову)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67F" w:rsidRPr="005735DE" w:rsidRDefault="00F0167F" w:rsidP="005735DE"/>
    <w:sectPr w:rsidR="00F0167F" w:rsidRPr="005735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E0" w:rsidRDefault="00A00CE0">
      <w:r>
        <w:separator/>
      </w:r>
    </w:p>
  </w:endnote>
  <w:endnote w:type="continuationSeparator" w:id="0">
    <w:p w:rsidR="00A00CE0" w:rsidRDefault="00A0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E0" w:rsidRDefault="00A00CE0"/>
  </w:footnote>
  <w:footnote w:type="continuationSeparator" w:id="0">
    <w:p w:rsidR="00A00CE0" w:rsidRDefault="00A00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F"/>
    <w:rsid w:val="00327680"/>
    <w:rsid w:val="005735DE"/>
    <w:rsid w:val="00A00CE0"/>
    <w:rsid w:val="00B0150F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E8757-A4DD-44BD-9FC8-BAEAFCF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after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No Spacing"/>
    <w:uiPriority w:val="1"/>
    <w:qFormat/>
    <w:rsid w:val="005735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Євген Ральченко</cp:lastModifiedBy>
  <cp:revision>3</cp:revision>
  <dcterms:created xsi:type="dcterms:W3CDTF">2024-04-30T06:16:00Z</dcterms:created>
  <dcterms:modified xsi:type="dcterms:W3CDTF">2024-05-01T09:20:00Z</dcterms:modified>
</cp:coreProperties>
</file>